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A8BD5">
      <w:pPr>
        <w:pStyle w:val="59"/>
        <w:numPr>
          <w:ilvl w:val="0"/>
          <w:numId w:val="0"/>
        </w:numPr>
        <w:rPr>
          <w:rFonts w:cs="宋体"/>
          <w:color w:val="auto"/>
          <w:kern w:val="0"/>
          <w:highlight w:val="none"/>
        </w:rPr>
      </w:pPr>
    </w:p>
    <w:p w14:paraId="15233ED3">
      <w:pPr>
        <w:jc w:val="center"/>
        <w:rPr>
          <w:rFonts w:ascii="宋体" w:hAnsi="宋体" w:cs="宋体"/>
          <w:b/>
          <w:color w:val="auto"/>
          <w:kern w:val="0"/>
          <w:sz w:val="44"/>
          <w:szCs w:val="44"/>
          <w:highlight w:val="none"/>
        </w:rPr>
      </w:pPr>
      <w:r>
        <w:rPr>
          <w:rFonts w:hint="eastAsia" w:ascii="宋体" w:hAnsi="宋体" w:cs="宋体"/>
          <w:b/>
          <w:color w:val="auto"/>
          <w:kern w:val="0"/>
          <w:sz w:val="44"/>
          <w:szCs w:val="44"/>
          <w:highlight w:val="none"/>
        </w:rPr>
        <w:t>中国石油大学（北京）纳米粒度及电位分析仪采购项目</w:t>
      </w:r>
    </w:p>
    <w:p w14:paraId="042DF355">
      <w:pPr>
        <w:spacing w:line="360" w:lineRule="atLeast"/>
        <w:ind w:left="1446" w:hanging="1446" w:hangingChars="450"/>
        <w:jc w:val="center"/>
        <w:rPr>
          <w:rFonts w:hAnsi="宋体" w:cs="宋体"/>
          <w:b/>
          <w:bCs/>
          <w:color w:val="auto"/>
          <w:kern w:val="0"/>
          <w:sz w:val="32"/>
          <w:szCs w:val="32"/>
          <w:highlight w:val="none"/>
        </w:rPr>
      </w:pPr>
    </w:p>
    <w:p w14:paraId="71DCACB6">
      <w:pPr>
        <w:spacing w:line="360" w:lineRule="atLeast"/>
        <w:ind w:left="1446" w:hanging="1446" w:hangingChars="450"/>
        <w:jc w:val="center"/>
        <w:rPr>
          <w:rFonts w:hAnsi="宋体" w:cs="宋体"/>
          <w:b/>
          <w:bCs/>
          <w:color w:val="auto"/>
          <w:kern w:val="0"/>
          <w:sz w:val="32"/>
          <w:szCs w:val="32"/>
          <w:highlight w:val="none"/>
        </w:rPr>
      </w:pPr>
    </w:p>
    <w:p w14:paraId="39DAC218">
      <w:pPr>
        <w:spacing w:line="360" w:lineRule="atLeast"/>
        <w:ind w:left="1446" w:hanging="1446" w:hangingChars="450"/>
        <w:jc w:val="center"/>
        <w:rPr>
          <w:color w:val="auto"/>
          <w:sz w:val="30"/>
          <w:szCs w:val="30"/>
          <w:highlight w:val="none"/>
        </w:rPr>
      </w:pPr>
      <w:r>
        <w:rPr>
          <w:rFonts w:hint="eastAsia" w:hAnsi="宋体" w:cs="宋体"/>
          <w:b/>
          <w:bCs/>
          <w:color w:val="auto"/>
          <w:kern w:val="0"/>
          <w:sz w:val="32"/>
          <w:szCs w:val="32"/>
          <w:highlight w:val="none"/>
        </w:rPr>
        <w:t>项目编号：HYGS-ZC-2026-103</w:t>
      </w:r>
    </w:p>
    <w:p w14:paraId="1854F5DA">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14:paraId="0E686B97">
      <w:pPr>
        <w:spacing w:line="360" w:lineRule="auto"/>
        <w:rPr>
          <w:rFonts w:ascii="宋体" w:hAnsi="宋体" w:cs="宋体"/>
          <w:color w:val="auto"/>
          <w:sz w:val="30"/>
          <w:szCs w:val="30"/>
          <w:highlight w:val="none"/>
        </w:rPr>
      </w:pPr>
    </w:p>
    <w:p w14:paraId="56F42698">
      <w:pPr>
        <w:spacing w:line="360" w:lineRule="auto"/>
        <w:rPr>
          <w:rFonts w:ascii="宋体" w:hAnsi="宋体" w:cs="宋体"/>
          <w:color w:val="auto"/>
          <w:sz w:val="30"/>
          <w:szCs w:val="30"/>
          <w:highlight w:val="none"/>
        </w:rPr>
      </w:pPr>
    </w:p>
    <w:p w14:paraId="6F796B89">
      <w:pPr>
        <w:spacing w:line="360" w:lineRule="auto"/>
        <w:rPr>
          <w:rFonts w:ascii="宋体" w:hAnsi="宋体" w:cs="宋体"/>
          <w:color w:val="auto"/>
          <w:sz w:val="30"/>
          <w:szCs w:val="30"/>
          <w:highlight w:val="none"/>
        </w:rPr>
      </w:pPr>
    </w:p>
    <w:p w14:paraId="201F4A34">
      <w:pPr>
        <w:spacing w:line="360" w:lineRule="auto"/>
        <w:rPr>
          <w:rFonts w:ascii="宋体" w:hAnsi="宋体" w:cs="宋体"/>
          <w:color w:val="auto"/>
          <w:sz w:val="30"/>
          <w:szCs w:val="30"/>
          <w:highlight w:val="none"/>
        </w:rPr>
      </w:pPr>
    </w:p>
    <w:p w14:paraId="6B6E61DD">
      <w:pPr>
        <w:pStyle w:val="3"/>
        <w:rPr>
          <w:rFonts w:ascii="宋体" w:hAnsi="宋体" w:cs="宋体"/>
          <w:color w:val="auto"/>
          <w:sz w:val="30"/>
          <w:szCs w:val="30"/>
          <w:highlight w:val="none"/>
        </w:rPr>
      </w:pPr>
    </w:p>
    <w:p w14:paraId="04AD453D">
      <w:pPr>
        <w:spacing w:line="360" w:lineRule="auto"/>
        <w:rPr>
          <w:rFonts w:ascii="宋体" w:hAnsi="宋体" w:cs="宋体"/>
          <w:b/>
          <w:bCs/>
          <w:color w:val="auto"/>
          <w:sz w:val="30"/>
          <w:szCs w:val="30"/>
          <w:highlight w:val="none"/>
        </w:rPr>
      </w:pPr>
      <w:bookmarkStart w:id="0" w:name="_Toc16938516"/>
      <w:bookmarkStart w:id="1" w:name="_Toc20823272"/>
      <w:bookmarkStart w:id="2" w:name="_Toc513029200"/>
      <w:bookmarkStart w:id="3" w:name="_Toc494375077"/>
      <w:bookmarkStart w:id="4" w:name="_Toc523127445"/>
      <w:bookmarkStart w:id="5" w:name="_Toc479757206"/>
      <w:bookmarkStart w:id="6" w:name="_Toc120614210"/>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：中国石油大学（北京）</w:t>
      </w:r>
    </w:p>
    <w:p w14:paraId="0645E2A5">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联系人：王逸伟</w:t>
      </w:r>
    </w:p>
    <w:p w14:paraId="4214913C">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联系电话：13488779576</w:t>
      </w:r>
    </w:p>
    <w:p w14:paraId="2A14749A">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0</wp:posOffset>
                </wp:positionV>
                <wp:extent cx="6019800" cy="0"/>
                <wp:effectExtent l="0" t="6350" r="0" b="635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1312;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14:paraId="6DCA0E8F">
      <w:pPr>
        <w:spacing w:line="360" w:lineRule="auto"/>
        <w:ind w:left="3313" w:hanging="3313" w:hangingChars="1100"/>
        <w:rPr>
          <w:rFonts w:ascii="宋体" w:hAnsi="宋体" w:cs="宋体"/>
          <w:b/>
          <w:bCs/>
          <w:color w:val="auto"/>
          <w:sz w:val="30"/>
          <w:szCs w:val="30"/>
          <w:highlight w:val="none"/>
        </w:rPr>
      </w:pPr>
      <w:r>
        <w:rPr>
          <w:rFonts w:hint="eastAsia" w:ascii="宋体" w:hAnsi="宋体" w:cs="宋体"/>
          <w:b/>
          <w:bCs/>
          <w:color w:val="auto"/>
          <w:kern w:val="0"/>
          <w:sz w:val="30"/>
          <w:szCs w:val="30"/>
          <w:highlight w:val="none"/>
        </w:rPr>
        <w:t>招标代理机构（盖章）：</w:t>
      </w:r>
      <w:r>
        <w:rPr>
          <w:rFonts w:hint="eastAsia" w:ascii="宋体" w:hAnsi="宋体" w:cs="宋体"/>
          <w:b/>
          <w:bCs/>
          <w:color w:val="auto"/>
          <w:spacing w:val="-11"/>
          <w:kern w:val="0"/>
          <w:sz w:val="30"/>
          <w:szCs w:val="30"/>
          <w:highlight w:val="none"/>
        </w:rPr>
        <w:t>新疆宏宇建设工程项目管理有限责任公司</w:t>
      </w:r>
      <w:r>
        <w:rPr>
          <w:rFonts w:hint="eastAsia" w:ascii="宋体" w:hAnsi="宋体" w:cs="宋体"/>
          <w:b/>
          <w:bCs/>
          <w:color w:val="auto"/>
          <w:sz w:val="30"/>
          <w:szCs w:val="30"/>
          <w:highlight w:val="none"/>
        </w:rPr>
        <w:t xml:space="preserve"> </w:t>
      </w:r>
    </w:p>
    <w:p w14:paraId="7B9D8340">
      <w:pPr>
        <w:spacing w:line="360" w:lineRule="auto"/>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法人代表（盖章）：</w:t>
      </w:r>
    </w:p>
    <w:p w14:paraId="64C11F77">
      <w:pPr>
        <w:spacing w:line="360" w:lineRule="auto"/>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联系人：魏丽、杨童艳、徐璐琪</w:t>
      </w:r>
    </w:p>
    <w:p w14:paraId="5FE103C0">
      <w:pPr>
        <w:spacing w:line="360" w:lineRule="auto"/>
        <w:rPr>
          <w:color w:val="auto"/>
          <w:highlight w:val="none"/>
        </w:rPr>
      </w:pPr>
      <w:r>
        <w:rPr>
          <w:rFonts w:hint="eastAsia" w:ascii="宋体" w:hAnsi="宋体" w:cs="宋体"/>
          <w:b/>
          <w:bCs/>
          <w:color w:val="auto"/>
          <w:kern w:val="0"/>
          <w:sz w:val="30"/>
          <w:szCs w:val="30"/>
          <w:highlight w:val="none"/>
        </w:rPr>
        <w:t>联系电话：18935837269  0990-6608599</w:t>
      </w:r>
    </w:p>
    <w:p w14:paraId="5659CFB0">
      <w:pPr>
        <w:pStyle w:val="134"/>
        <w:jc w:val="center"/>
        <w:rPr>
          <w:color w:val="auto"/>
          <w:sz w:val="44"/>
          <w:szCs w:val="44"/>
          <w:highlight w:val="none"/>
          <w:lang w:val="zh-CN"/>
        </w:rPr>
      </w:pPr>
      <w:r>
        <w:rPr>
          <w:color w:val="auto"/>
          <w:sz w:val="44"/>
          <w:szCs w:val="44"/>
          <w:highlight w:val="none"/>
          <w:lang w:val="zh-CN"/>
        </w:rPr>
        <w:t>目录</w:t>
      </w:r>
    </w:p>
    <w:p w14:paraId="4E818534">
      <w:pPr>
        <w:rPr>
          <w:color w:val="auto"/>
          <w:sz w:val="44"/>
          <w:szCs w:val="44"/>
          <w:highlight w:val="none"/>
          <w:lang w:val="zh-CN"/>
        </w:rPr>
      </w:pPr>
    </w:p>
    <w:p w14:paraId="59DFF5CE">
      <w:pPr>
        <w:pStyle w:val="21"/>
        <w:tabs>
          <w:tab w:val="right" w:leader="dot" w:pos="8306"/>
        </w:tabs>
        <w:rPr>
          <w:color w:val="auto"/>
          <w:sz w:val="30"/>
          <w:szCs w:val="30"/>
          <w:highlight w:val="none"/>
        </w:rPr>
      </w:pPr>
      <w:r>
        <w:rPr>
          <w:color w:val="auto"/>
          <w:sz w:val="30"/>
          <w:szCs w:val="30"/>
          <w:highlight w:val="none"/>
        </w:rPr>
        <w:fldChar w:fldCharType="begin"/>
      </w:r>
      <w:r>
        <w:rPr>
          <w:color w:val="auto"/>
          <w:sz w:val="30"/>
          <w:szCs w:val="30"/>
          <w:highlight w:val="none"/>
        </w:rPr>
        <w:instrText xml:space="preserve">TOC \o "1-1" \h \u </w:instrText>
      </w:r>
      <w:r>
        <w:rPr>
          <w:color w:val="auto"/>
          <w:sz w:val="30"/>
          <w:szCs w:val="30"/>
          <w:highlight w:val="none"/>
        </w:rPr>
        <w:fldChar w:fldCharType="separate"/>
      </w:r>
      <w:r>
        <w:rPr>
          <w:color w:val="auto"/>
          <w:highlight w:val="none"/>
        </w:rPr>
        <w:fldChar w:fldCharType="begin"/>
      </w:r>
      <w:r>
        <w:rPr>
          <w:color w:val="auto"/>
          <w:highlight w:val="none"/>
        </w:rPr>
        <w:instrText xml:space="preserve"> HYPERLINK \l "_Toc26167" </w:instrText>
      </w:r>
      <w:r>
        <w:rPr>
          <w:color w:val="auto"/>
          <w:highlight w:val="none"/>
        </w:rPr>
        <w:fldChar w:fldCharType="separate"/>
      </w:r>
      <w:r>
        <w:rPr>
          <w:rFonts w:hint="eastAsia"/>
          <w:color w:val="auto"/>
          <w:sz w:val="30"/>
          <w:szCs w:val="30"/>
          <w:highlight w:val="none"/>
        </w:rPr>
        <w:t>须知前附表</w:t>
      </w:r>
      <w:r>
        <w:rPr>
          <w:color w:val="auto"/>
          <w:sz w:val="30"/>
          <w:szCs w:val="30"/>
          <w:highlight w:val="none"/>
        </w:rPr>
        <w:tab/>
      </w:r>
      <w:r>
        <w:rPr>
          <w:rFonts w:hint="eastAsia"/>
          <w:color w:val="auto"/>
          <w:sz w:val="30"/>
          <w:szCs w:val="30"/>
          <w:highlight w:val="none"/>
          <w:lang w:val="en-US" w:eastAsia="zh-CN"/>
        </w:rPr>
        <w:t>1</w:t>
      </w:r>
      <w:r>
        <w:rPr>
          <w:color w:val="auto"/>
          <w:sz w:val="30"/>
          <w:szCs w:val="30"/>
          <w:highlight w:val="none"/>
        </w:rPr>
        <w:fldChar w:fldCharType="end"/>
      </w:r>
    </w:p>
    <w:p w14:paraId="7FE5B879">
      <w:pPr>
        <w:pStyle w:val="21"/>
        <w:tabs>
          <w:tab w:val="right" w:leader="dot" w:pos="8306"/>
        </w:tabs>
        <w:rPr>
          <w:color w:val="auto"/>
          <w:sz w:val="30"/>
          <w:szCs w:val="30"/>
          <w:highlight w:val="none"/>
        </w:rPr>
      </w:pPr>
      <w:r>
        <w:rPr>
          <w:color w:val="auto"/>
          <w:highlight w:val="none"/>
        </w:rPr>
        <w:fldChar w:fldCharType="begin"/>
      </w:r>
      <w:r>
        <w:rPr>
          <w:color w:val="auto"/>
          <w:highlight w:val="none"/>
        </w:rPr>
        <w:instrText xml:space="preserve"> HYPERLINK \l "_Toc6760" </w:instrText>
      </w:r>
      <w:r>
        <w:rPr>
          <w:color w:val="auto"/>
          <w:highlight w:val="none"/>
        </w:rPr>
        <w:fldChar w:fldCharType="separate"/>
      </w:r>
      <w:r>
        <w:rPr>
          <w:rFonts w:hint="eastAsia" w:asciiTheme="minorEastAsia" w:hAnsiTheme="minorEastAsia" w:eastAsiaTheme="minorEastAsia" w:cstheme="minorEastAsia"/>
          <w:color w:val="auto"/>
          <w:sz w:val="30"/>
          <w:szCs w:val="30"/>
          <w:highlight w:val="none"/>
        </w:rPr>
        <w:t>第一章  采购公告</w:t>
      </w:r>
      <w:r>
        <w:rPr>
          <w:color w:val="auto"/>
          <w:sz w:val="30"/>
          <w:szCs w:val="30"/>
          <w:highlight w:val="none"/>
        </w:rPr>
        <w:tab/>
      </w:r>
      <w:r>
        <w:rPr>
          <w:rFonts w:hint="eastAsia"/>
          <w:color w:val="auto"/>
          <w:sz w:val="30"/>
          <w:szCs w:val="30"/>
          <w:highlight w:val="none"/>
          <w:lang w:val="en-US" w:eastAsia="zh-CN"/>
        </w:rPr>
        <w:t>8</w:t>
      </w:r>
      <w:r>
        <w:rPr>
          <w:color w:val="auto"/>
          <w:sz w:val="30"/>
          <w:szCs w:val="30"/>
          <w:highlight w:val="none"/>
        </w:rPr>
        <w:fldChar w:fldCharType="end"/>
      </w:r>
    </w:p>
    <w:p w14:paraId="2AE2F597">
      <w:pPr>
        <w:pStyle w:val="21"/>
        <w:tabs>
          <w:tab w:val="right" w:leader="dot" w:pos="8306"/>
        </w:tabs>
        <w:rPr>
          <w:color w:val="auto"/>
          <w:sz w:val="30"/>
          <w:szCs w:val="30"/>
          <w:highlight w:val="none"/>
        </w:rPr>
      </w:pPr>
      <w:r>
        <w:rPr>
          <w:color w:val="auto"/>
          <w:highlight w:val="none"/>
        </w:rPr>
        <w:fldChar w:fldCharType="begin"/>
      </w:r>
      <w:r>
        <w:rPr>
          <w:color w:val="auto"/>
          <w:highlight w:val="none"/>
        </w:rPr>
        <w:instrText xml:space="preserve"> HYPERLINK \l "_Toc8919" </w:instrText>
      </w:r>
      <w:r>
        <w:rPr>
          <w:color w:val="auto"/>
          <w:highlight w:val="none"/>
        </w:rPr>
        <w:fldChar w:fldCharType="separate"/>
      </w:r>
      <w:r>
        <w:rPr>
          <w:rFonts w:hint="eastAsia"/>
          <w:color w:val="auto"/>
          <w:sz w:val="30"/>
          <w:szCs w:val="30"/>
          <w:highlight w:val="none"/>
        </w:rPr>
        <w:t>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_Toc8919 \h </w:instrText>
      </w:r>
      <w:r>
        <w:rPr>
          <w:color w:val="auto"/>
          <w:sz w:val="30"/>
          <w:szCs w:val="30"/>
          <w:highlight w:val="none"/>
        </w:rPr>
        <w:fldChar w:fldCharType="separate"/>
      </w:r>
      <w:r>
        <w:rPr>
          <w:color w:val="auto"/>
          <w:sz w:val="30"/>
          <w:szCs w:val="30"/>
          <w:highlight w:val="none"/>
        </w:rPr>
        <w:t>1</w:t>
      </w:r>
      <w:r>
        <w:rPr>
          <w:rFonts w:hint="eastAsia"/>
          <w:color w:val="auto"/>
          <w:sz w:val="30"/>
          <w:szCs w:val="30"/>
          <w:highlight w:val="none"/>
          <w:lang w:val="en-US" w:eastAsia="zh-CN"/>
        </w:rPr>
        <w:t>1</w:t>
      </w:r>
      <w:r>
        <w:rPr>
          <w:color w:val="auto"/>
          <w:sz w:val="30"/>
          <w:szCs w:val="30"/>
          <w:highlight w:val="none"/>
        </w:rPr>
        <w:fldChar w:fldCharType="end"/>
      </w:r>
      <w:r>
        <w:rPr>
          <w:color w:val="auto"/>
          <w:sz w:val="30"/>
          <w:szCs w:val="30"/>
          <w:highlight w:val="none"/>
        </w:rPr>
        <w:fldChar w:fldCharType="end"/>
      </w:r>
    </w:p>
    <w:p w14:paraId="5FF4709A">
      <w:pPr>
        <w:pStyle w:val="21"/>
        <w:tabs>
          <w:tab w:val="right" w:leader="dot" w:pos="8306"/>
        </w:tabs>
        <w:rPr>
          <w:color w:val="auto"/>
          <w:sz w:val="30"/>
          <w:szCs w:val="30"/>
          <w:highlight w:val="none"/>
        </w:rPr>
      </w:pPr>
      <w:r>
        <w:rPr>
          <w:color w:val="auto"/>
          <w:highlight w:val="none"/>
        </w:rPr>
        <w:fldChar w:fldCharType="begin"/>
      </w:r>
      <w:r>
        <w:rPr>
          <w:color w:val="auto"/>
          <w:highlight w:val="none"/>
        </w:rPr>
        <w:instrText xml:space="preserve"> HYPERLINK \l "_Toc23540" </w:instrText>
      </w:r>
      <w:r>
        <w:rPr>
          <w:color w:val="auto"/>
          <w:highlight w:val="none"/>
        </w:rPr>
        <w:fldChar w:fldCharType="separate"/>
      </w:r>
      <w:r>
        <w:rPr>
          <w:rFonts w:hint="eastAsia"/>
          <w:color w:val="auto"/>
          <w:sz w:val="30"/>
          <w:szCs w:val="30"/>
          <w:highlight w:val="none"/>
        </w:rPr>
        <w:t>第三章 评分办法及评分标准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_Toc23540 \h </w:instrText>
      </w:r>
      <w:r>
        <w:rPr>
          <w:color w:val="auto"/>
          <w:sz w:val="30"/>
          <w:szCs w:val="30"/>
          <w:highlight w:val="none"/>
        </w:rPr>
        <w:fldChar w:fldCharType="separate"/>
      </w:r>
      <w:r>
        <w:rPr>
          <w:rFonts w:hint="eastAsia"/>
          <w:color w:val="auto"/>
          <w:sz w:val="30"/>
          <w:szCs w:val="30"/>
          <w:highlight w:val="none"/>
          <w:lang w:val="en-US" w:eastAsia="zh-CN"/>
        </w:rPr>
        <w:t>28</w:t>
      </w:r>
      <w:r>
        <w:rPr>
          <w:color w:val="auto"/>
          <w:sz w:val="30"/>
          <w:szCs w:val="30"/>
          <w:highlight w:val="none"/>
        </w:rPr>
        <w:fldChar w:fldCharType="end"/>
      </w:r>
      <w:r>
        <w:rPr>
          <w:color w:val="auto"/>
          <w:sz w:val="30"/>
          <w:szCs w:val="30"/>
          <w:highlight w:val="none"/>
        </w:rPr>
        <w:fldChar w:fldCharType="end"/>
      </w:r>
    </w:p>
    <w:p w14:paraId="3F90C07A">
      <w:pPr>
        <w:pStyle w:val="21"/>
        <w:tabs>
          <w:tab w:val="right" w:leader="dot" w:pos="8306"/>
        </w:tabs>
        <w:rPr>
          <w:color w:val="auto"/>
          <w:sz w:val="30"/>
          <w:szCs w:val="30"/>
          <w:highlight w:val="none"/>
        </w:rPr>
      </w:pPr>
      <w:r>
        <w:rPr>
          <w:color w:val="auto"/>
          <w:highlight w:val="none"/>
        </w:rPr>
        <w:fldChar w:fldCharType="begin"/>
      </w:r>
      <w:r>
        <w:rPr>
          <w:color w:val="auto"/>
          <w:highlight w:val="none"/>
        </w:rPr>
        <w:instrText xml:space="preserve"> HYPERLINK \l "_Toc13580" </w:instrText>
      </w:r>
      <w:r>
        <w:rPr>
          <w:color w:val="auto"/>
          <w:highlight w:val="none"/>
        </w:rPr>
        <w:fldChar w:fldCharType="separate"/>
      </w:r>
      <w:r>
        <w:rPr>
          <w:rFonts w:hint="eastAsia"/>
          <w:color w:val="auto"/>
          <w:sz w:val="30"/>
          <w:szCs w:val="30"/>
          <w:highlight w:val="none"/>
        </w:rPr>
        <w:t>第四章  拟订立的合同样本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_Toc13580 \h </w:instrText>
      </w:r>
      <w:r>
        <w:rPr>
          <w:color w:val="auto"/>
          <w:sz w:val="30"/>
          <w:szCs w:val="30"/>
          <w:highlight w:val="none"/>
        </w:rPr>
        <w:fldChar w:fldCharType="separate"/>
      </w:r>
      <w:r>
        <w:rPr>
          <w:color w:val="auto"/>
          <w:sz w:val="30"/>
          <w:szCs w:val="30"/>
          <w:highlight w:val="none"/>
        </w:rPr>
        <w:t>3</w:t>
      </w:r>
      <w:r>
        <w:rPr>
          <w:rFonts w:hint="eastAsia"/>
          <w:color w:val="auto"/>
          <w:sz w:val="30"/>
          <w:szCs w:val="30"/>
          <w:highlight w:val="none"/>
          <w:lang w:val="en-US" w:eastAsia="zh-CN"/>
        </w:rPr>
        <w:t>3</w:t>
      </w:r>
      <w:r>
        <w:rPr>
          <w:color w:val="auto"/>
          <w:sz w:val="30"/>
          <w:szCs w:val="30"/>
          <w:highlight w:val="none"/>
        </w:rPr>
        <w:fldChar w:fldCharType="end"/>
      </w:r>
      <w:r>
        <w:rPr>
          <w:color w:val="auto"/>
          <w:sz w:val="30"/>
          <w:szCs w:val="30"/>
          <w:highlight w:val="none"/>
        </w:rPr>
        <w:fldChar w:fldCharType="end"/>
      </w:r>
    </w:p>
    <w:p w14:paraId="2F34DDD1">
      <w:pPr>
        <w:pStyle w:val="21"/>
        <w:tabs>
          <w:tab w:val="right" w:leader="dot" w:pos="8306"/>
        </w:tabs>
        <w:rPr>
          <w:color w:val="auto"/>
          <w:sz w:val="30"/>
          <w:szCs w:val="30"/>
          <w:highlight w:val="none"/>
        </w:rPr>
      </w:pPr>
      <w:r>
        <w:rPr>
          <w:color w:val="auto"/>
          <w:highlight w:val="none"/>
        </w:rPr>
        <w:fldChar w:fldCharType="begin"/>
      </w:r>
      <w:r>
        <w:rPr>
          <w:color w:val="auto"/>
          <w:highlight w:val="none"/>
        </w:rPr>
        <w:instrText xml:space="preserve"> HYPERLINK \l "_Toc26985" </w:instrText>
      </w:r>
      <w:r>
        <w:rPr>
          <w:color w:val="auto"/>
          <w:highlight w:val="none"/>
        </w:rPr>
        <w:fldChar w:fldCharType="separate"/>
      </w:r>
      <w:r>
        <w:rPr>
          <w:rFonts w:hint="eastAsia"/>
          <w:color w:val="auto"/>
          <w:sz w:val="30"/>
          <w:szCs w:val="30"/>
          <w:highlight w:val="none"/>
        </w:rPr>
        <w:t>第五章 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_Toc26985 \h </w:instrText>
      </w:r>
      <w:r>
        <w:rPr>
          <w:color w:val="auto"/>
          <w:sz w:val="30"/>
          <w:szCs w:val="30"/>
          <w:highlight w:val="none"/>
        </w:rPr>
        <w:fldChar w:fldCharType="separate"/>
      </w:r>
      <w:r>
        <w:rPr>
          <w:color w:val="auto"/>
          <w:sz w:val="30"/>
          <w:szCs w:val="30"/>
          <w:highlight w:val="none"/>
        </w:rPr>
        <w:t>4</w:t>
      </w:r>
      <w:r>
        <w:rPr>
          <w:rFonts w:hint="eastAsia"/>
          <w:color w:val="auto"/>
          <w:sz w:val="30"/>
          <w:szCs w:val="30"/>
          <w:highlight w:val="none"/>
          <w:lang w:val="en-US" w:eastAsia="zh-CN"/>
        </w:rPr>
        <w:t>5</w:t>
      </w:r>
      <w:r>
        <w:rPr>
          <w:color w:val="auto"/>
          <w:sz w:val="30"/>
          <w:szCs w:val="30"/>
          <w:highlight w:val="none"/>
        </w:rPr>
        <w:fldChar w:fldCharType="end"/>
      </w:r>
      <w:r>
        <w:rPr>
          <w:color w:val="auto"/>
          <w:sz w:val="30"/>
          <w:szCs w:val="30"/>
          <w:highlight w:val="none"/>
        </w:rPr>
        <w:fldChar w:fldCharType="end"/>
      </w:r>
    </w:p>
    <w:p w14:paraId="1A2E5812">
      <w:pPr>
        <w:pStyle w:val="21"/>
        <w:tabs>
          <w:tab w:val="right" w:leader="dot" w:pos="8306"/>
        </w:tabs>
        <w:rPr>
          <w:color w:val="auto"/>
          <w:sz w:val="30"/>
          <w:szCs w:val="30"/>
          <w:highlight w:val="none"/>
        </w:rPr>
      </w:pPr>
      <w:r>
        <w:rPr>
          <w:color w:val="auto"/>
          <w:highlight w:val="none"/>
        </w:rPr>
        <w:fldChar w:fldCharType="begin"/>
      </w:r>
      <w:r>
        <w:rPr>
          <w:color w:val="auto"/>
          <w:highlight w:val="none"/>
        </w:rPr>
        <w:instrText xml:space="preserve"> HYPERLINK \l "_Toc26259" </w:instrText>
      </w:r>
      <w:r>
        <w:rPr>
          <w:color w:val="auto"/>
          <w:highlight w:val="none"/>
        </w:rPr>
        <w:fldChar w:fldCharType="separate"/>
      </w:r>
      <w:r>
        <w:rPr>
          <w:rFonts w:hint="eastAsia" w:ascii="宋体" w:hAnsi="宋体" w:cs="宋体"/>
          <w:color w:val="auto"/>
          <w:sz w:val="30"/>
          <w:szCs w:val="30"/>
          <w:highlight w:val="none"/>
        </w:rPr>
        <w:t>第六章 项目需求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_Toc26259 \h </w:instrText>
      </w:r>
      <w:r>
        <w:rPr>
          <w:color w:val="auto"/>
          <w:sz w:val="30"/>
          <w:szCs w:val="30"/>
          <w:highlight w:val="none"/>
        </w:rPr>
        <w:fldChar w:fldCharType="separate"/>
      </w:r>
      <w:r>
        <w:rPr>
          <w:color w:val="auto"/>
          <w:sz w:val="30"/>
          <w:szCs w:val="30"/>
          <w:highlight w:val="none"/>
        </w:rPr>
        <w:t>8</w:t>
      </w:r>
      <w:r>
        <w:rPr>
          <w:rFonts w:hint="eastAsia"/>
          <w:color w:val="auto"/>
          <w:sz w:val="30"/>
          <w:szCs w:val="30"/>
          <w:highlight w:val="none"/>
          <w:lang w:val="en-US" w:eastAsia="zh-CN"/>
        </w:rPr>
        <w:t>3</w:t>
      </w:r>
      <w:r>
        <w:rPr>
          <w:color w:val="auto"/>
          <w:sz w:val="30"/>
          <w:szCs w:val="30"/>
          <w:highlight w:val="none"/>
        </w:rPr>
        <w:fldChar w:fldCharType="end"/>
      </w:r>
      <w:r>
        <w:rPr>
          <w:color w:val="auto"/>
          <w:sz w:val="30"/>
          <w:szCs w:val="30"/>
          <w:highlight w:val="none"/>
        </w:rPr>
        <w:fldChar w:fldCharType="end"/>
      </w:r>
    </w:p>
    <w:p w14:paraId="7EF56667">
      <w:pPr>
        <w:rPr>
          <w:color w:val="auto"/>
          <w:highlight w:val="none"/>
        </w:rPr>
      </w:pPr>
      <w:r>
        <w:rPr>
          <w:color w:val="auto"/>
          <w:sz w:val="30"/>
          <w:szCs w:val="30"/>
          <w:highlight w:val="none"/>
        </w:rPr>
        <w:fldChar w:fldCharType="end"/>
      </w:r>
    </w:p>
    <w:p w14:paraId="276682A4">
      <w:pPr>
        <w:pStyle w:val="2"/>
        <w:rPr>
          <w:color w:val="auto"/>
          <w:highlight w:val="none"/>
        </w:rPr>
        <w:sectPr>
          <w:footerReference r:id="rId3" w:type="default"/>
          <w:pgSz w:w="11906" w:h="16838"/>
          <w:pgMar w:top="1440" w:right="1800" w:bottom="1440" w:left="1800" w:header="851" w:footer="992" w:gutter="0"/>
          <w:cols w:space="720" w:num="1"/>
          <w:docGrid w:type="lines" w:linePitch="312" w:charSpace="0"/>
        </w:sectPr>
      </w:pPr>
      <w:bookmarkStart w:id="7" w:name="_Toc26965"/>
      <w:bookmarkStart w:id="8" w:name="_Toc21554"/>
      <w:bookmarkStart w:id="9" w:name="_Toc20753"/>
      <w:bookmarkStart w:id="10" w:name="_Toc22122"/>
      <w:bookmarkStart w:id="11" w:name="_Toc534725596"/>
      <w:bookmarkStart w:id="12" w:name="_Toc13808"/>
    </w:p>
    <w:p w14:paraId="22AEA5EC">
      <w:pPr>
        <w:pStyle w:val="2"/>
        <w:rPr>
          <w:color w:val="auto"/>
          <w:highlight w:val="none"/>
          <w:lang w:eastAsia="en-US"/>
        </w:rPr>
      </w:pPr>
      <w:bookmarkStart w:id="13" w:name="_Toc26167"/>
      <w:r>
        <w:rPr>
          <w:rFonts w:hint="eastAsia"/>
          <w:color w:val="auto"/>
          <w:highlight w:val="none"/>
        </w:rPr>
        <w:t>须知前附表</w:t>
      </w:r>
      <w:bookmarkEnd w:id="7"/>
      <w:bookmarkEnd w:id="8"/>
      <w:bookmarkEnd w:id="9"/>
      <w:bookmarkEnd w:id="13"/>
    </w:p>
    <w:tbl>
      <w:tblPr>
        <w:tblStyle w:val="39"/>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14:paraId="5C9636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1200822">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14:paraId="64E4B912">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14:paraId="359CD4A3">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14:paraId="5D1562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14:paraId="09BC4CF0">
            <w:pPr>
              <w:spacing w:line="300" w:lineRule="exact"/>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14:paraId="17E04E9C">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14:paraId="13346BB9">
            <w:pPr>
              <w:spacing w:line="288" w:lineRule="auto"/>
              <w:jc w:val="left"/>
              <w:rPr>
                <w:rFonts w:hAnsi="宋体" w:cs="Arial"/>
                <w:bCs/>
                <w:color w:val="auto"/>
                <w:highlight w:val="none"/>
              </w:rPr>
            </w:pPr>
            <w:r>
              <w:rPr>
                <w:rFonts w:hint="eastAsia" w:hAnsi="宋体" w:cs="Arial"/>
                <w:bCs/>
                <w:color w:val="auto"/>
                <w:highlight w:val="none"/>
              </w:rPr>
              <w:t>中国石油大学（北京）纳米粒度及电位分析仪采购项目</w:t>
            </w:r>
          </w:p>
        </w:tc>
      </w:tr>
      <w:tr w14:paraId="5F0D9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14:paraId="187AA26B">
            <w:pPr>
              <w:spacing w:line="300" w:lineRule="exact"/>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14:paraId="33B5929A">
            <w:pPr>
              <w:spacing w:line="288" w:lineRule="auto"/>
              <w:jc w:val="center"/>
              <w:rPr>
                <w:rFonts w:hAnsi="宋体" w:cs="Arial"/>
                <w:bCs/>
                <w:color w:val="auto"/>
                <w:highlight w:val="none"/>
              </w:rPr>
            </w:pPr>
            <w:r>
              <w:rPr>
                <w:rFonts w:hint="eastAsia"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14:paraId="57C5EC78">
            <w:pPr>
              <w:spacing w:line="400" w:lineRule="exact"/>
              <w:rPr>
                <w:rFonts w:hAnsi="宋体" w:cs="Arial"/>
                <w:bCs/>
                <w:color w:val="auto"/>
                <w:highlight w:val="none"/>
              </w:rPr>
            </w:pPr>
            <w:r>
              <w:rPr>
                <w:rFonts w:hint="eastAsia" w:hAnsi="宋体" w:cs="Arial"/>
                <w:bCs/>
                <w:color w:val="auto"/>
                <w:highlight w:val="none"/>
              </w:rPr>
              <w:t>HYGS-ZC-2026-103</w:t>
            </w:r>
          </w:p>
        </w:tc>
      </w:tr>
      <w:tr w14:paraId="40E67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14:paraId="28A20934">
            <w:pPr>
              <w:spacing w:line="300" w:lineRule="exact"/>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14:paraId="6B47CBE8">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14:paraId="3C667014">
            <w:pPr>
              <w:spacing w:line="288" w:lineRule="auto"/>
              <w:jc w:val="left"/>
              <w:rPr>
                <w:rFonts w:hAnsi="宋体" w:cs="Arial"/>
                <w:bCs/>
                <w:color w:val="auto"/>
                <w:highlight w:val="none"/>
              </w:rPr>
            </w:pPr>
            <w:r>
              <w:rPr>
                <w:rFonts w:hint="eastAsia" w:hAnsi="宋体" w:cs="Arial"/>
                <w:bCs/>
                <w:color w:val="auto"/>
                <w:highlight w:val="none"/>
              </w:rPr>
              <w:t>中央财政预算</w:t>
            </w:r>
          </w:p>
        </w:tc>
      </w:tr>
      <w:tr w14:paraId="761837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14:paraId="65AB338D">
            <w:pPr>
              <w:spacing w:line="300" w:lineRule="exact"/>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14:paraId="73E58881">
            <w:pPr>
              <w:spacing w:line="288" w:lineRule="auto"/>
              <w:jc w:val="center"/>
              <w:rPr>
                <w:rFonts w:hAnsi="宋体" w:cs="Arial"/>
                <w:bCs/>
                <w:color w:val="auto"/>
                <w:highlight w:val="none"/>
              </w:rPr>
            </w:pPr>
            <w:r>
              <w:rPr>
                <w:rFonts w:hint="eastAsia" w:hAnsi="宋体" w:cs="Arial"/>
                <w:bCs/>
                <w:color w:val="auto"/>
                <w:highlight w:val="none"/>
              </w:rPr>
              <w:t>预算金额</w:t>
            </w:r>
          </w:p>
          <w:p w14:paraId="47B2A65D">
            <w:pPr>
              <w:spacing w:line="288" w:lineRule="auto"/>
              <w:jc w:val="center"/>
              <w:rPr>
                <w:color w:val="auto"/>
                <w:highlight w:val="none"/>
              </w:rPr>
            </w:pPr>
            <w:r>
              <w:rPr>
                <w:rFonts w:hint="eastAsia"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14:paraId="2BA50E09">
            <w:pPr>
              <w:pStyle w:val="22"/>
              <w:spacing w:line="288" w:lineRule="auto"/>
              <w:jc w:val="left"/>
              <w:rPr>
                <w:rFonts w:hAnsi="宋体" w:cs="Arial"/>
                <w:bCs/>
                <w:color w:val="auto"/>
                <w:highlight w:val="none"/>
              </w:rPr>
            </w:pPr>
            <w:r>
              <w:rPr>
                <w:rFonts w:hint="eastAsia" w:hAnsi="宋体" w:cs="Arial"/>
                <w:bCs/>
                <w:color w:val="auto"/>
                <w:highlight w:val="none"/>
              </w:rPr>
              <w:t>预算总金</w:t>
            </w:r>
            <w:r>
              <w:rPr>
                <w:rFonts w:hint="eastAsia" w:ascii="Times New Roman" w:hAnsi="宋体" w:cs="Arial"/>
                <w:bCs/>
                <w:color w:val="auto"/>
                <w:highlight w:val="none"/>
              </w:rPr>
              <w:t>额：28.2万元</w:t>
            </w:r>
          </w:p>
        </w:tc>
      </w:tr>
      <w:tr w14:paraId="4F8FDE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14:paraId="1A10477F">
            <w:pPr>
              <w:spacing w:line="300" w:lineRule="exact"/>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14:paraId="7D9397D8">
            <w:pPr>
              <w:spacing w:line="288" w:lineRule="auto"/>
              <w:jc w:val="center"/>
              <w:rPr>
                <w:rFonts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14:paraId="223528F7">
            <w:pPr>
              <w:pStyle w:val="22"/>
              <w:spacing w:line="288" w:lineRule="auto"/>
              <w:jc w:val="left"/>
              <w:rPr>
                <w:rFonts w:ascii="Times New Roman" w:hAnsi="宋体" w:cs="Arial"/>
                <w:bCs/>
                <w:color w:val="auto"/>
                <w:highlight w:val="none"/>
              </w:rPr>
            </w:pPr>
            <w:r>
              <w:rPr>
                <w:rFonts w:hint="eastAsia" w:hAnsi="宋体" w:cs="Arial"/>
                <w:bCs/>
                <w:color w:val="auto"/>
                <w:highlight w:val="none"/>
              </w:rPr>
              <w:t>最高限</w:t>
            </w:r>
            <w:r>
              <w:rPr>
                <w:rFonts w:hint="eastAsia" w:ascii="Times New Roman" w:hAnsi="宋体" w:cs="Arial"/>
                <w:bCs/>
                <w:color w:val="auto"/>
                <w:highlight w:val="none"/>
              </w:rPr>
              <w:t>价：28.2万元</w:t>
            </w:r>
          </w:p>
          <w:p w14:paraId="6C7149FE">
            <w:pPr>
              <w:pStyle w:val="22"/>
              <w:spacing w:line="288" w:lineRule="auto"/>
              <w:jc w:val="left"/>
              <w:rPr>
                <w:color w:val="auto"/>
                <w:highlight w:val="none"/>
              </w:rPr>
            </w:pPr>
            <w:r>
              <w:rPr>
                <w:rFonts w:hint="eastAsia" w:hAnsi="宋体" w:cs="Arial"/>
                <w:bCs/>
                <w:color w:val="auto"/>
                <w:highlight w:val="none"/>
              </w:rPr>
              <w:t>最高单价限价</w:t>
            </w:r>
            <w:r>
              <w:rPr>
                <w:rFonts w:hint="eastAsia" w:ascii="Times New Roman" w:hAnsi="宋体" w:cs="Arial"/>
                <w:bCs/>
                <w:color w:val="auto"/>
                <w:highlight w:val="none"/>
              </w:rPr>
              <w:t>：</w:t>
            </w:r>
            <w:r>
              <w:rPr>
                <w:rFonts w:hint="eastAsia" w:hAnsi="宋体"/>
                <w:color w:val="auto"/>
                <w:highlight w:val="none"/>
              </w:rPr>
              <w:t>详见本招标文件第六章项目需求</w:t>
            </w:r>
          </w:p>
          <w:p w14:paraId="5130934D">
            <w:pPr>
              <w:pStyle w:val="22"/>
              <w:spacing w:line="288" w:lineRule="auto"/>
              <w:jc w:val="lef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
                <w:color w:val="auto"/>
                <w:highlight w:val="none"/>
              </w:rPr>
              <w:t>（供应商的报价总价、单项报价均不得超过招标文件公布的最高限价，否则其投标无效。）</w:t>
            </w:r>
          </w:p>
        </w:tc>
      </w:tr>
      <w:tr w14:paraId="21B409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D66BC93">
            <w:pPr>
              <w:spacing w:line="300" w:lineRule="exact"/>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14:paraId="495D34E2">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14:paraId="17C2A802">
            <w:pPr>
              <w:pStyle w:val="128"/>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14:paraId="7E2963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2D9827F">
            <w:pPr>
              <w:spacing w:line="300" w:lineRule="exact"/>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14:paraId="3D6FFFF4">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14:paraId="0CBB07DD">
            <w:pPr>
              <w:spacing w:line="288" w:lineRule="auto"/>
              <w:jc w:val="left"/>
              <w:rPr>
                <w:rFonts w:hAnsi="宋体"/>
                <w:color w:val="auto"/>
                <w:highlight w:val="none"/>
              </w:rPr>
            </w:pPr>
            <w:r>
              <w:rPr>
                <w:rFonts w:hint="eastAsia" w:hAnsi="宋体"/>
                <w:color w:val="auto"/>
                <w:highlight w:val="none"/>
              </w:rPr>
              <w:t>详见本招标文件第六章项目需求</w:t>
            </w:r>
          </w:p>
        </w:tc>
      </w:tr>
      <w:tr w14:paraId="0F9EFD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4C9EBA7">
            <w:pPr>
              <w:spacing w:line="300" w:lineRule="exact"/>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14:paraId="216217F2">
            <w:pPr>
              <w:spacing w:line="288" w:lineRule="auto"/>
              <w:jc w:val="center"/>
              <w:rPr>
                <w:rFonts w:hAnsi="宋体" w:cs="Arial"/>
                <w:bCs/>
                <w:color w:val="auto"/>
                <w:highlight w:val="none"/>
              </w:rPr>
            </w:pPr>
            <w:r>
              <w:rPr>
                <w:rFonts w:hint="eastAsia" w:hAnsi="宋体" w:cs="Arial"/>
                <w:bCs/>
                <w:color w:val="auto"/>
                <w:highlight w:val="none"/>
              </w:rPr>
              <w:t>供货地点</w:t>
            </w:r>
          </w:p>
        </w:tc>
        <w:tc>
          <w:tcPr>
            <w:tcW w:w="6639" w:type="dxa"/>
            <w:tcBorders>
              <w:top w:val="single" w:color="auto" w:sz="4" w:space="0"/>
              <w:left w:val="single" w:color="auto" w:sz="4" w:space="0"/>
              <w:bottom w:val="single" w:color="auto" w:sz="4" w:space="0"/>
              <w:right w:val="single" w:color="auto" w:sz="4" w:space="0"/>
            </w:tcBorders>
            <w:vAlign w:val="center"/>
          </w:tcPr>
          <w:p w14:paraId="4B3D742F">
            <w:pPr>
              <w:spacing w:line="288" w:lineRule="auto"/>
              <w:jc w:val="left"/>
              <w:rPr>
                <w:rFonts w:hAnsi="宋体"/>
                <w:color w:val="auto"/>
                <w:highlight w:val="none"/>
              </w:rPr>
            </w:pPr>
            <w:r>
              <w:rPr>
                <w:rFonts w:hint="eastAsia" w:hAnsi="宋体"/>
                <w:color w:val="auto"/>
                <w:highlight w:val="none"/>
              </w:rPr>
              <w:t>中国石油大学（北京）克拉玛依校区</w:t>
            </w:r>
          </w:p>
        </w:tc>
      </w:tr>
      <w:tr w14:paraId="7DC28A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1769E14">
            <w:pPr>
              <w:spacing w:line="300" w:lineRule="exact"/>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14:paraId="1E9B4301">
            <w:pPr>
              <w:spacing w:line="288" w:lineRule="auto"/>
              <w:jc w:val="center"/>
              <w:rPr>
                <w:rFonts w:hAnsi="宋体" w:cs="宋体"/>
                <w:color w:val="auto"/>
                <w:highlight w:val="none"/>
              </w:rPr>
            </w:pPr>
            <w:r>
              <w:rPr>
                <w:rFonts w:hint="eastAsia" w:hAnsi="宋体" w:cs="宋体"/>
                <w:color w:val="auto"/>
                <w:highlight w:val="none"/>
              </w:rPr>
              <w:t>合同履约期限</w:t>
            </w:r>
          </w:p>
        </w:tc>
        <w:tc>
          <w:tcPr>
            <w:tcW w:w="6639" w:type="dxa"/>
            <w:tcBorders>
              <w:top w:val="single" w:color="auto" w:sz="4" w:space="0"/>
              <w:left w:val="single" w:color="auto" w:sz="4" w:space="0"/>
              <w:bottom w:val="single" w:color="auto" w:sz="4" w:space="0"/>
              <w:right w:val="single" w:color="auto" w:sz="4" w:space="0"/>
            </w:tcBorders>
            <w:vAlign w:val="center"/>
          </w:tcPr>
          <w:p w14:paraId="456639C1">
            <w:pPr>
              <w:spacing w:line="288" w:lineRule="auto"/>
              <w:jc w:val="left"/>
              <w:rPr>
                <w:rFonts w:hAnsi="宋体"/>
                <w:color w:val="auto"/>
                <w:highlight w:val="none"/>
              </w:rPr>
            </w:pPr>
            <w:r>
              <w:rPr>
                <w:rFonts w:hint="eastAsia" w:hAnsi="宋体"/>
                <w:color w:val="auto"/>
                <w:highlight w:val="none"/>
              </w:rPr>
              <w:t>自采购合同签订后30日（日历日）内交货并完成安装调试。</w:t>
            </w:r>
          </w:p>
        </w:tc>
      </w:tr>
      <w:tr w14:paraId="198029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B43D9AC">
            <w:pPr>
              <w:spacing w:line="300" w:lineRule="exact"/>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14:paraId="65026FED">
            <w:pPr>
              <w:spacing w:line="288" w:lineRule="auto"/>
              <w:jc w:val="center"/>
              <w:rPr>
                <w:rFonts w:hAnsi="宋体" w:cs="宋体"/>
                <w:color w:val="auto"/>
                <w:highlight w:val="none"/>
              </w:rPr>
            </w:pPr>
            <w:r>
              <w:rPr>
                <w:rFonts w:hint="eastAsia"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14:paraId="298CCC23">
            <w:pPr>
              <w:spacing w:line="288" w:lineRule="auto"/>
              <w:jc w:val="left"/>
              <w:rPr>
                <w:rFonts w:hAnsi="宋体"/>
                <w:color w:val="auto"/>
                <w:highlight w:val="none"/>
              </w:rPr>
            </w:pPr>
            <w:r>
              <w:rPr>
                <w:rFonts w:hint="eastAsia" w:hAnsi="宋体"/>
                <w:color w:val="auto"/>
                <w:highlight w:val="none"/>
              </w:rPr>
              <w:t>达到招标人要求</w:t>
            </w:r>
          </w:p>
        </w:tc>
      </w:tr>
      <w:tr w14:paraId="1B4CA2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4D4CF9F">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14:paraId="532DE9E4">
            <w:pPr>
              <w:spacing w:line="288" w:lineRule="auto"/>
              <w:jc w:val="center"/>
              <w:rPr>
                <w:rFonts w:hAnsi="宋体" w:cs="宋体"/>
                <w:color w:val="auto"/>
                <w:highlight w:val="none"/>
              </w:rPr>
            </w:pPr>
            <w:r>
              <w:rPr>
                <w:rFonts w:hint="eastAsia"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14:paraId="59E5CCF0">
            <w:pPr>
              <w:spacing w:line="400" w:lineRule="exact"/>
              <w:ind w:firstLine="0" w:firstLineChars="0"/>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1、合同签订后，采购人向中标人支付合同总价</w:t>
            </w:r>
            <w:r>
              <w:rPr>
                <w:rFonts w:hint="eastAsia" w:ascii="Times New Roman" w:hAnsi="Times New Roman" w:eastAsia="宋体" w:cs="Times New Roman"/>
                <w:color w:val="auto"/>
                <w:highlight w:val="none"/>
                <w:lang w:val="zh-CN" w:eastAsia="zh-CN"/>
              </w:rPr>
              <w:t>50</w:t>
            </w:r>
            <w:r>
              <w:rPr>
                <w:rFonts w:hint="eastAsia" w:ascii="Times New Roman" w:hAnsi="Times New Roman" w:eastAsia="宋体" w:cs="Times New Roman"/>
                <w:color w:val="auto"/>
                <w:highlight w:val="none"/>
                <w:lang w:val="zh-CN"/>
              </w:rPr>
              <w:t>%的预付款；</w:t>
            </w:r>
          </w:p>
          <w:p w14:paraId="38B5E387">
            <w:pPr>
              <w:spacing w:line="400" w:lineRule="exact"/>
              <w:ind w:firstLine="0" w:firstLineChars="0"/>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2、中标人按采购合同交货，完成安装调试，经验收合格后，采购人向中标人支付合同总价</w:t>
            </w:r>
            <w:r>
              <w:rPr>
                <w:rFonts w:hint="eastAsia" w:ascii="Times New Roman" w:hAnsi="Times New Roman" w:eastAsia="宋体" w:cs="Times New Roman"/>
                <w:color w:val="auto"/>
                <w:highlight w:val="none"/>
                <w:lang w:val="zh-CN" w:eastAsia="zh-CN"/>
              </w:rPr>
              <w:t>50</w:t>
            </w:r>
            <w:r>
              <w:rPr>
                <w:rFonts w:hint="eastAsia" w:ascii="Times New Roman" w:hAnsi="Times New Roman" w:eastAsia="宋体" w:cs="Times New Roman"/>
                <w:color w:val="auto"/>
                <w:highlight w:val="none"/>
                <w:lang w:val="zh-CN"/>
              </w:rPr>
              <w:t>%的货款；</w:t>
            </w:r>
          </w:p>
          <w:p w14:paraId="0D1DCEA6">
            <w:pPr>
              <w:spacing w:line="400" w:lineRule="exact"/>
              <w:ind w:firstLine="0" w:firstLineChars="0"/>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3、中标人提交采购合同、发票等材料，向采购人申请付款；</w:t>
            </w:r>
          </w:p>
          <w:p w14:paraId="4E8BD2AD">
            <w:pPr>
              <w:rPr>
                <w:color w:val="auto"/>
                <w:highlight w:val="none"/>
              </w:rPr>
            </w:pPr>
            <w:r>
              <w:rPr>
                <w:rFonts w:hint="eastAsia" w:ascii="Times New Roman" w:hAnsi="Times New Roman" w:eastAsia="宋体" w:cs="Times New Roman"/>
                <w:color w:val="auto"/>
                <w:highlight w:val="none"/>
                <w:lang w:val="zh-CN" w:eastAsia="zh-CN"/>
              </w:rPr>
              <w:t>4</w:t>
            </w:r>
            <w:r>
              <w:rPr>
                <w:rFonts w:hint="eastAsia" w:ascii="Times New Roman" w:hAnsi="Times New Roman" w:eastAsia="宋体" w:cs="Times New Roman"/>
                <w:color w:val="auto"/>
                <w:highlight w:val="none"/>
                <w:lang w:val="zh-CN"/>
              </w:rPr>
              <w:t>、采购人对中标人提交的付款资料审核通过后，以转账方式向中标人付款。</w:t>
            </w:r>
          </w:p>
        </w:tc>
      </w:tr>
      <w:tr w14:paraId="4797F1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60BDEEF">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14:paraId="70747274">
            <w:pPr>
              <w:spacing w:line="288" w:lineRule="auto"/>
              <w:jc w:val="center"/>
              <w:rPr>
                <w:rFonts w:cs="宋体"/>
                <w:color w:val="auto"/>
                <w:highlight w:val="none"/>
              </w:rPr>
            </w:pPr>
            <w:r>
              <w:rPr>
                <w:rFonts w:hint="eastAsia"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14:paraId="3E57C11B">
            <w:pPr>
              <w:spacing w:line="288" w:lineRule="auto"/>
              <w:rPr>
                <w:color w:val="auto"/>
                <w:highlight w:val="none"/>
              </w:rPr>
            </w:pPr>
            <w:r>
              <w:rPr>
                <w:rFonts w:hint="eastAsia"/>
                <w:color w:val="auto"/>
                <w:highlight w:val="none"/>
              </w:rPr>
              <w:t>自验收合格之日起3年，质保期内免费维修更换相关配件。</w:t>
            </w:r>
          </w:p>
        </w:tc>
      </w:tr>
      <w:tr w14:paraId="653A65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B09CA3E">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14:paraId="31A064CC">
            <w:pPr>
              <w:spacing w:line="288" w:lineRule="auto"/>
              <w:jc w:val="center"/>
              <w:rPr>
                <w:rFonts w:cs="宋体"/>
                <w:color w:val="auto"/>
                <w:highlight w:val="none"/>
              </w:rPr>
            </w:pPr>
            <w:r>
              <w:rPr>
                <w:rFonts w:hint="eastAsia" w:cs="宋体"/>
                <w:color w:val="auto"/>
                <w:highlight w:val="none"/>
              </w:rPr>
              <w:t>是否接受进口产品</w:t>
            </w:r>
          </w:p>
        </w:tc>
        <w:tc>
          <w:tcPr>
            <w:tcW w:w="6639" w:type="dxa"/>
            <w:tcBorders>
              <w:top w:val="single" w:color="auto" w:sz="4" w:space="0"/>
              <w:left w:val="single" w:color="auto" w:sz="4" w:space="0"/>
              <w:bottom w:val="single" w:color="auto" w:sz="4" w:space="0"/>
              <w:right w:val="single" w:color="auto" w:sz="4" w:space="0"/>
            </w:tcBorders>
            <w:vAlign w:val="center"/>
          </w:tcPr>
          <w:p w14:paraId="7147A964">
            <w:pPr>
              <w:spacing w:line="288" w:lineRule="auto"/>
              <w:jc w:val="left"/>
              <w:rPr>
                <w:rFonts w:hAnsi="宋体"/>
                <w:color w:val="auto"/>
                <w:highlight w:val="none"/>
              </w:rPr>
            </w:pPr>
            <w:r>
              <w:rPr>
                <w:rFonts w:hint="eastAsia"/>
                <w:color w:val="auto"/>
                <w:highlight w:val="none"/>
              </w:rPr>
              <w:sym w:font="Wingdings" w:char="00A8"/>
            </w:r>
            <w:r>
              <w:rPr>
                <w:rFonts w:hint="eastAsia"/>
                <w:color w:val="auto"/>
                <w:highlight w:val="none"/>
              </w:rPr>
              <w:t xml:space="preserve">是   </w:t>
            </w:r>
            <w:r>
              <w:rPr>
                <w:rFonts w:hint="eastAsia"/>
                <w:color w:val="auto"/>
                <w:highlight w:val="none"/>
              </w:rPr>
              <w:sym w:font="Wingdings" w:char="00FE"/>
            </w:r>
            <w:r>
              <w:rPr>
                <w:rFonts w:hint="eastAsia"/>
                <w:color w:val="auto"/>
                <w:highlight w:val="none"/>
              </w:rPr>
              <w:t>否</w:t>
            </w:r>
          </w:p>
        </w:tc>
      </w:tr>
      <w:tr w14:paraId="7AF8C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C6328A8">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14:paraId="531B662F">
            <w:pPr>
              <w:spacing w:line="288" w:lineRule="auto"/>
              <w:jc w:val="center"/>
              <w:rPr>
                <w:rFonts w:cs="宋体"/>
                <w:color w:val="auto"/>
                <w:highlight w:val="none"/>
              </w:rPr>
            </w:pPr>
            <w:r>
              <w:rPr>
                <w:rFonts w:hint="eastAsia"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14:paraId="5D2BF8E8">
            <w:pPr>
              <w:pStyle w:val="3"/>
              <w:spacing w:line="320" w:lineRule="exact"/>
              <w:ind w:firstLine="0"/>
              <w:rPr>
                <w:color w:val="auto"/>
                <w:highlight w:val="none"/>
              </w:rPr>
            </w:pPr>
            <w:r>
              <w:rPr>
                <w:rFonts w:hint="eastAsia"/>
                <w:color w:val="auto"/>
                <w:highlight w:val="none"/>
              </w:rPr>
              <w:t>□有  ☑无 单一产品无需确认核心产品</w:t>
            </w:r>
          </w:p>
        </w:tc>
      </w:tr>
      <w:tr w14:paraId="78B70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4441FDB">
            <w:pPr>
              <w:spacing w:line="300" w:lineRule="exact"/>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14:paraId="3486DA78">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14:paraId="3477F321">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14:paraId="3A6EAA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FD63DA9">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14:paraId="790831F7">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14:paraId="4A71CC10">
            <w:pPr>
              <w:spacing w:line="288" w:lineRule="auto"/>
              <w:rPr>
                <w:color w:val="auto"/>
                <w:highlight w:val="none"/>
                <w:lang w:val="zh-CN"/>
              </w:rPr>
            </w:pPr>
            <w:r>
              <w:rPr>
                <w:rFonts w:hint="eastAsia"/>
                <w:color w:val="auto"/>
                <w:highlight w:val="none"/>
                <w:lang w:val="zh-CN"/>
              </w:rPr>
              <w:t>1.满足《中华人民共和国政府采购法》第二十二条规定；</w:t>
            </w:r>
          </w:p>
          <w:p w14:paraId="0AAE5B0E">
            <w:pPr>
              <w:spacing w:line="400" w:lineRule="exact"/>
              <w:rPr>
                <w:color w:val="auto"/>
                <w:highlight w:val="none"/>
              </w:rPr>
            </w:pPr>
            <w:r>
              <w:rPr>
                <w:rFonts w:hint="eastAsia"/>
                <w:color w:val="auto"/>
                <w:highlight w:val="none"/>
                <w:lang w:val="zh-CN"/>
              </w:rPr>
              <w:t>2.落实政府采购政策需满足的资格要求：</w:t>
            </w:r>
            <w:r>
              <w:rPr>
                <w:rFonts w:hint="eastAsia"/>
                <w:color w:val="auto"/>
                <w:highlight w:val="none"/>
              </w:rPr>
              <w:t>1)</w:t>
            </w:r>
            <w:r>
              <w:rPr>
                <w:rFonts w:hint="eastAsia"/>
                <w:color w:val="auto"/>
                <w:highlight w:val="none"/>
              </w:rPr>
              <w:t>本项目专门面向中小企业采购</w:t>
            </w:r>
            <w:r>
              <w:rPr>
                <w:rFonts w:hint="eastAsia"/>
                <w:color w:val="auto"/>
                <w:highlight w:val="none"/>
              </w:rPr>
              <w:t>。</w:t>
            </w: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5DE7E85F">
            <w:pPr>
              <w:spacing w:line="288" w:lineRule="auto"/>
              <w:rPr>
                <w:color w:val="auto"/>
                <w:highlight w:val="none"/>
                <w:lang w:val="zh-CN"/>
              </w:rPr>
            </w:pPr>
            <w:r>
              <w:rPr>
                <w:rFonts w:hint="eastAsia"/>
                <w:color w:val="auto"/>
                <w:highlight w:val="none"/>
              </w:rPr>
              <w:t>3</w:t>
            </w:r>
            <w:r>
              <w:rPr>
                <w:rFonts w:hint="eastAsia"/>
                <w:color w:val="auto"/>
                <w:highlight w:val="none"/>
                <w:lang w:val="zh-CN"/>
              </w:rPr>
              <w:t>.本项目的特定资格要求：</w:t>
            </w:r>
          </w:p>
          <w:p w14:paraId="24CA7EDF">
            <w:pPr>
              <w:spacing w:line="288" w:lineRule="auto"/>
              <w:rPr>
                <w:color w:val="auto"/>
                <w:highlight w:val="none"/>
              </w:rPr>
            </w:pPr>
            <w:r>
              <w:rPr>
                <w:rFonts w:hint="eastAsia"/>
                <w:color w:val="auto"/>
                <w:highlight w:val="none"/>
              </w:rPr>
              <w:t>（1）与招标人存在利害关系可能影响招标公正性的法人、其他组织或者个人，不得参加同一标段投标或者未划分标段的同一招标不得参加投标；</w:t>
            </w:r>
          </w:p>
          <w:p w14:paraId="0771FC3E">
            <w:pPr>
              <w:spacing w:line="288" w:lineRule="auto"/>
              <w:rPr>
                <w:color w:val="auto"/>
                <w:highlight w:val="none"/>
              </w:rPr>
            </w:pPr>
            <w:r>
              <w:rPr>
                <w:rFonts w:hint="eastAsia"/>
                <w:color w:val="auto"/>
                <w:highlight w:val="none"/>
              </w:rPr>
              <w:t>（2）投标单位负责人为同一人或者存在直接控股、管理关系的不同投标人不得参加同一合同项下的采购活动。</w:t>
            </w:r>
          </w:p>
          <w:p w14:paraId="3AE69816">
            <w:pPr>
              <w:spacing w:line="288" w:lineRule="auto"/>
              <w:rPr>
                <w:color w:val="auto"/>
                <w:highlight w:val="none"/>
              </w:rPr>
            </w:pPr>
            <w:r>
              <w:rPr>
                <w:rFonts w:hint="eastAsia"/>
                <w:color w:val="auto"/>
                <w:highlight w:val="none"/>
              </w:rPr>
              <w:t>（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p w14:paraId="3B655B5C">
            <w:pPr>
              <w:spacing w:line="288" w:lineRule="auto"/>
              <w:rPr>
                <w:color w:val="auto"/>
                <w:highlight w:val="none"/>
              </w:rPr>
            </w:pPr>
            <w:r>
              <w:rPr>
                <w:rFonts w:hint="eastAsia"/>
                <w:color w:val="auto"/>
                <w:highlight w:val="none"/>
              </w:rPr>
              <w:t>4.本项目不接受联合体投标。</w:t>
            </w:r>
          </w:p>
        </w:tc>
      </w:tr>
      <w:tr w14:paraId="2266F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88D3B8">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695" w:type="dxa"/>
            <w:tcBorders>
              <w:top w:val="single" w:color="auto" w:sz="4" w:space="0"/>
              <w:left w:val="single" w:color="auto" w:sz="4" w:space="0"/>
              <w:bottom w:val="single" w:color="auto" w:sz="4" w:space="0"/>
              <w:right w:val="single" w:color="auto" w:sz="4" w:space="0"/>
            </w:tcBorders>
            <w:vAlign w:val="center"/>
          </w:tcPr>
          <w:p w14:paraId="162F2212">
            <w:pPr>
              <w:spacing w:line="288" w:lineRule="auto"/>
              <w:jc w:val="center"/>
              <w:rPr>
                <w:rFonts w:hAnsi="宋体" w:cs="Arial"/>
                <w:bCs/>
                <w:color w:val="auto"/>
                <w:highlight w:val="none"/>
              </w:rPr>
            </w:pPr>
            <w:r>
              <w:rPr>
                <w:rFonts w:hint="eastAsia" w:hAnsi="宋体" w:cs="Arial"/>
                <w:bCs/>
                <w:color w:val="auto"/>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14:paraId="293AD96B">
            <w:pPr>
              <w:pStyle w:val="38"/>
              <w:spacing w:line="288" w:lineRule="auto"/>
              <w:ind w:leftChars="-1" w:hanging="2" w:hangingChars="1"/>
              <w:rPr>
                <w:color w:val="auto"/>
                <w:highlight w:val="none"/>
              </w:rPr>
            </w:pPr>
            <w:r>
              <w:rPr>
                <w:rFonts w:hint="eastAsia"/>
                <w:color w:val="auto"/>
                <w:highlight w:val="none"/>
              </w:rPr>
              <w:t>1. 投标保证金金额：</w:t>
            </w:r>
          </w:p>
          <w:p w14:paraId="51B39F48">
            <w:pPr>
              <w:pStyle w:val="38"/>
              <w:spacing w:line="288" w:lineRule="auto"/>
              <w:ind w:leftChars="-1" w:hanging="2" w:hangingChars="1"/>
              <w:rPr>
                <w:color w:val="auto"/>
                <w:highlight w:val="none"/>
              </w:rPr>
            </w:pPr>
            <w:r>
              <w:rPr>
                <w:rFonts w:hint="eastAsia" w:ascii="Arial" w:hAnsi="Arial" w:cs="Arial"/>
                <w:color w:val="auto"/>
                <w:highlight w:val="none"/>
              </w:rPr>
              <w:t>/</w:t>
            </w:r>
            <w:r>
              <w:rPr>
                <w:rFonts w:hint="eastAsia"/>
                <w:color w:val="auto"/>
                <w:highlight w:val="none"/>
              </w:rPr>
              <w:t>万元，大写：/；</w:t>
            </w:r>
          </w:p>
          <w:p w14:paraId="72F27CF2">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14:paraId="5BB0506A">
            <w:pPr>
              <w:spacing w:line="400" w:lineRule="exact"/>
              <w:rPr>
                <w:color w:val="auto"/>
                <w:highlight w:val="none"/>
              </w:rPr>
            </w:pPr>
            <w:r>
              <w:rPr>
                <w:rFonts w:hint="eastAsia"/>
                <w:color w:val="auto"/>
                <w:highlight w:val="none"/>
              </w:rPr>
              <w:t>3.投标保证金缴纳形式：投标保证金应当以支票、汇票、本票或者金融机构、担保机构出具的保函等非现金形式提交，投标人未按照招标文件要求提交投标保证金的，投标无效。</w:t>
            </w:r>
          </w:p>
          <w:p w14:paraId="1609E021">
            <w:pPr>
              <w:spacing w:line="400" w:lineRule="exact"/>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14:paraId="13E821DD">
            <w:pPr>
              <w:spacing w:line="400" w:lineRule="exact"/>
              <w:rPr>
                <w:color w:val="auto"/>
                <w:highlight w:val="none"/>
              </w:rPr>
            </w:pPr>
            <w:r>
              <w:rPr>
                <w:rFonts w:hint="eastAsia"/>
                <w:color w:val="auto"/>
                <w:highlight w:val="none"/>
              </w:rPr>
              <w:t>5.投标保证金递交的开户银行及账号如下：</w:t>
            </w:r>
          </w:p>
          <w:p w14:paraId="4B67E6E3">
            <w:pPr>
              <w:spacing w:line="400" w:lineRule="exact"/>
              <w:rPr>
                <w:color w:val="auto"/>
                <w:highlight w:val="none"/>
              </w:rPr>
            </w:pPr>
            <w:r>
              <w:rPr>
                <w:rFonts w:hint="eastAsia"/>
                <w:color w:val="auto"/>
                <w:highlight w:val="none"/>
              </w:rPr>
              <w:t>账户名称：新疆宏宇建设工程项目管理有限责任公司克拉玛依咨询分公司</w:t>
            </w:r>
          </w:p>
          <w:p w14:paraId="6C1176DE">
            <w:pPr>
              <w:spacing w:line="400" w:lineRule="exact"/>
              <w:rPr>
                <w:color w:val="auto"/>
                <w:highlight w:val="none"/>
              </w:rPr>
            </w:pPr>
            <w:r>
              <w:rPr>
                <w:rFonts w:hint="eastAsia"/>
                <w:color w:val="auto"/>
                <w:highlight w:val="none"/>
              </w:rPr>
              <w:t xml:space="preserve">地址：新疆克拉玛依市克拉玛依区新兴路339-401号（四楼）     </w:t>
            </w:r>
          </w:p>
          <w:p w14:paraId="750A0BC5">
            <w:pPr>
              <w:spacing w:line="400" w:lineRule="exact"/>
              <w:rPr>
                <w:color w:val="auto"/>
                <w:highlight w:val="none"/>
              </w:rPr>
            </w:pPr>
            <w:r>
              <w:rPr>
                <w:rFonts w:hint="eastAsia"/>
                <w:color w:val="auto"/>
                <w:highlight w:val="none"/>
              </w:rPr>
              <w:t>邮政编码：834000</w:t>
            </w:r>
          </w:p>
          <w:p w14:paraId="1D727EC7">
            <w:pPr>
              <w:spacing w:line="400" w:lineRule="exact"/>
              <w:rPr>
                <w:color w:val="auto"/>
                <w:highlight w:val="none"/>
              </w:rPr>
            </w:pPr>
            <w:r>
              <w:rPr>
                <w:rFonts w:hint="eastAsia"/>
                <w:color w:val="auto"/>
                <w:highlight w:val="none"/>
              </w:rPr>
              <w:t xml:space="preserve">开户行：昆仑银行股份有限公司克拉玛依分行           </w:t>
            </w:r>
          </w:p>
          <w:p w14:paraId="4C7655A9">
            <w:pPr>
              <w:spacing w:line="400" w:lineRule="exact"/>
              <w:rPr>
                <w:color w:val="auto"/>
                <w:highlight w:val="none"/>
              </w:rPr>
            </w:pPr>
            <w:r>
              <w:rPr>
                <w:rFonts w:hint="eastAsia"/>
                <w:color w:val="auto"/>
                <w:highlight w:val="none"/>
              </w:rPr>
              <w:t>银行账号：88202221188980000027</w:t>
            </w:r>
          </w:p>
          <w:p w14:paraId="72C1052A">
            <w:pPr>
              <w:spacing w:line="400" w:lineRule="exact"/>
              <w:rPr>
                <w:color w:val="auto"/>
                <w:highlight w:val="none"/>
              </w:rPr>
            </w:pPr>
            <w:r>
              <w:rPr>
                <w:rFonts w:hint="eastAsia"/>
                <w:color w:val="auto"/>
                <w:highlight w:val="none"/>
              </w:rPr>
              <w:t>行号：313882000131</w:t>
            </w:r>
          </w:p>
          <w:p w14:paraId="71F0151D">
            <w:pPr>
              <w:spacing w:line="400" w:lineRule="exact"/>
              <w:rPr>
                <w:rFonts w:ascii="宋体" w:hAnsi="宋体" w:cs="宋体"/>
                <w:color w:val="auto"/>
                <w:kern w:val="0"/>
                <w:highlight w:val="none"/>
              </w:rPr>
            </w:pPr>
            <w:r>
              <w:rPr>
                <w:rFonts w:hint="eastAsia"/>
                <w:color w:val="auto"/>
                <w:highlight w:val="none"/>
              </w:rPr>
              <w:t>注意：不得以办事处或其他机构名义缴纳，投标人在缴纳保证金时，需在进账凭证上明确自己用途、投标项目和项目编号，并注明联系人及电话，以便查对核实。请投标人按上述要求将投标保证金汇入指定的开户银行，未按规定提交投标保证金的投标，将被视为投标无效。保证金事宜请联系（0990-6608599）</w:t>
            </w:r>
          </w:p>
        </w:tc>
      </w:tr>
      <w:tr w14:paraId="4E888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3765A2E">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14:paraId="4E6E8FCB">
            <w:pPr>
              <w:spacing w:line="288" w:lineRule="auto"/>
              <w:jc w:val="center"/>
              <w:rPr>
                <w:color w:val="auto"/>
                <w:highlight w:val="none"/>
              </w:rPr>
            </w:pPr>
            <w:r>
              <w:rPr>
                <w:rFonts w:hint="eastAsia"/>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14:paraId="028F4CF8">
            <w:pPr>
              <w:spacing w:line="288" w:lineRule="auto"/>
              <w:rPr>
                <w:color w:val="auto"/>
                <w:highlight w:val="none"/>
              </w:rPr>
            </w:pPr>
            <w:r>
              <w:rPr>
                <w:rFonts w:hint="eastAsia"/>
                <w:color w:val="auto"/>
                <w:highlight w:val="none"/>
              </w:rPr>
              <w:t>递交投标文件的截止之日起90天。</w:t>
            </w:r>
          </w:p>
        </w:tc>
      </w:tr>
      <w:tr w14:paraId="208D9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5C93AE8">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14:paraId="73E5D4AF">
            <w:pPr>
              <w:spacing w:line="288" w:lineRule="auto"/>
              <w:jc w:val="center"/>
              <w:rPr>
                <w:color w:val="auto"/>
                <w:highlight w:val="none"/>
              </w:rPr>
            </w:pPr>
            <w:r>
              <w:rPr>
                <w:rFonts w:hint="eastAsia"/>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14:paraId="531D27D2">
            <w:pPr>
              <w:spacing w:line="288" w:lineRule="auto"/>
              <w:rPr>
                <w:color w:val="auto"/>
                <w:highlight w:val="none"/>
              </w:rPr>
            </w:pPr>
            <w:r>
              <w:rPr>
                <w:rFonts w:hint="eastAsia"/>
                <w:color w:val="auto"/>
                <w:highlight w:val="none"/>
              </w:rPr>
              <w:t>本项目不安排现场踏勘。</w:t>
            </w:r>
          </w:p>
        </w:tc>
      </w:tr>
      <w:tr w14:paraId="5895C3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24D86E5">
            <w:pPr>
              <w:spacing w:line="300" w:lineRule="exact"/>
              <w:jc w:val="center"/>
              <w:rPr>
                <w:rFonts w:ascii="宋体" w:hAnsi="宋体" w:cs="Arial"/>
                <w:color w:val="auto"/>
                <w:highlight w:val="none"/>
              </w:rPr>
            </w:pPr>
            <w:r>
              <w:rPr>
                <w:rFonts w:hint="eastAsia" w:hAnsi="宋体" w:cs="Arial"/>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14:paraId="233CF0DC">
            <w:pPr>
              <w:spacing w:line="288" w:lineRule="auto"/>
              <w:jc w:val="center"/>
              <w:rPr>
                <w:rFonts w:hAnsi="宋体" w:cs="Arial"/>
                <w:bCs/>
                <w:color w:val="auto"/>
                <w:highlight w:val="none"/>
              </w:rPr>
            </w:pPr>
            <w:r>
              <w:rPr>
                <w:rFonts w:hint="eastAsia" w:hAnsi="宋体" w:cs="Arial"/>
                <w:bCs/>
                <w:color w:val="auto"/>
                <w:highlight w:val="none"/>
              </w:rPr>
              <w:t>投标文件</w:t>
            </w:r>
          </w:p>
          <w:p w14:paraId="73F0F086">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14:paraId="7D484541">
            <w:pPr>
              <w:spacing w:line="288" w:lineRule="auto"/>
              <w:rPr>
                <w:rFonts w:ascii="宋体" w:hAnsi="宋体" w:cs="Arial"/>
                <w:bCs/>
                <w:color w:val="auto"/>
                <w:highlight w:val="none"/>
              </w:rPr>
            </w:pPr>
            <w:r>
              <w:rPr>
                <w:rFonts w:hint="eastAsia"/>
                <w:color w:val="auto"/>
                <w:highlight w:val="none"/>
              </w:rPr>
              <w:t>投标人无论中标与否，开评标结束后均需提供纸质版投标文件（一正两副），具体装订要求详见投标须知正文。</w:t>
            </w:r>
          </w:p>
        </w:tc>
      </w:tr>
      <w:tr w14:paraId="7F5C6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46B8DDA">
            <w:pPr>
              <w:spacing w:line="300" w:lineRule="exact"/>
              <w:jc w:val="center"/>
              <w:rPr>
                <w:rFonts w:ascii="宋体" w:hAnsi="宋体" w:cs="Arial"/>
                <w:bCs/>
                <w:color w:val="auto"/>
                <w:highlight w:val="none"/>
              </w:rPr>
            </w:pPr>
            <w:r>
              <w:rPr>
                <w:rFonts w:hint="eastAsia" w:hAnsi="宋体" w:cs="Arial"/>
                <w:bCs/>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14:paraId="2D2D94E6">
            <w:pPr>
              <w:spacing w:line="288" w:lineRule="auto"/>
              <w:jc w:val="center"/>
              <w:rPr>
                <w:rFonts w:ascii="宋体" w:hAnsi="宋体" w:cs="Arial"/>
                <w:bCs/>
                <w:color w:val="auto"/>
                <w:highlight w:val="none"/>
              </w:rPr>
            </w:pPr>
            <w:r>
              <w:rPr>
                <w:rFonts w:hint="eastAsia" w:hAnsi="宋体" w:cs="Arial"/>
                <w:bCs/>
                <w:color w:val="auto"/>
                <w:highlight w:val="none"/>
              </w:rPr>
              <w:t>投标文件递交截止时间及投标文件递交地点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14:paraId="48B617F1">
            <w:pPr>
              <w:pStyle w:val="34"/>
              <w:spacing w:line="360" w:lineRule="auto"/>
              <w:rPr>
                <w:rStyle w:val="42"/>
                <w:rFonts w:cs="宋体"/>
                <w:b w:val="0"/>
                <w:color w:val="auto"/>
                <w:sz w:val="21"/>
                <w:highlight w:val="none"/>
              </w:rPr>
            </w:pPr>
            <w:r>
              <w:rPr>
                <w:rStyle w:val="42"/>
                <w:rFonts w:hint="eastAsia" w:cs="宋体"/>
                <w:b w:val="0"/>
                <w:color w:val="auto"/>
                <w:sz w:val="21"/>
                <w:highlight w:val="none"/>
              </w:rPr>
              <w:sym w:font="Wingdings 2" w:char="00A3"/>
            </w:r>
            <w:r>
              <w:rPr>
                <w:rStyle w:val="42"/>
                <w:rFonts w:hint="eastAsia" w:cs="宋体"/>
                <w:b w:val="0"/>
                <w:color w:val="auto"/>
                <w:sz w:val="21"/>
                <w:highlight w:val="none"/>
              </w:rPr>
              <w:t>采用见面开标：</w:t>
            </w:r>
          </w:p>
          <w:p w14:paraId="0CC150F8">
            <w:pPr>
              <w:pStyle w:val="34"/>
              <w:widowControl w:val="0"/>
              <w:adjustRightInd w:val="0"/>
              <w:snapToGrid w:val="0"/>
              <w:rPr>
                <w:rFonts w:cs="宋体"/>
                <w:b/>
                <w:bCs/>
                <w:color w:val="auto"/>
                <w:sz w:val="21"/>
                <w:highlight w:val="none"/>
              </w:rPr>
            </w:pPr>
            <w:r>
              <w:rPr>
                <w:rFonts w:hint="eastAsia" w:cs="宋体"/>
                <w:b/>
                <w:bCs/>
                <w:color w:val="auto"/>
                <w:sz w:val="21"/>
                <w:highlight w:val="none"/>
              </w:rPr>
              <w:t>纸质版投标文件要求：</w:t>
            </w:r>
          </w:p>
          <w:p w14:paraId="6F4BFA74">
            <w:pPr>
              <w:pStyle w:val="34"/>
              <w:widowControl w:val="0"/>
              <w:adjustRightInd w:val="0"/>
              <w:snapToGrid w:val="0"/>
              <w:rPr>
                <w:rStyle w:val="42"/>
                <w:rFonts w:cs="宋体"/>
                <w:color w:val="auto"/>
                <w:sz w:val="21"/>
                <w:highlight w:val="none"/>
              </w:rPr>
            </w:pPr>
            <w:r>
              <w:rPr>
                <w:rFonts w:hint="eastAsia" w:cs="宋体"/>
                <w:b/>
                <w:bCs/>
                <w:color w:val="auto"/>
                <w:sz w:val="21"/>
                <w:highlight w:val="none"/>
              </w:rPr>
              <w:t>（1）</w:t>
            </w:r>
            <w:r>
              <w:rPr>
                <w:rFonts w:hint="eastAsia" w:cs="宋体"/>
                <w:b/>
                <w:bCs/>
                <w:color w:val="auto"/>
                <w:sz w:val="21"/>
                <w:highlight w:val="none"/>
                <w:u w:val="single"/>
              </w:rPr>
              <w:t>投标</w:t>
            </w:r>
            <w:r>
              <w:rPr>
                <w:rStyle w:val="42"/>
                <w:rFonts w:hint="eastAsia" w:cs="宋体"/>
                <w:color w:val="auto"/>
                <w:sz w:val="21"/>
                <w:highlight w:val="none"/>
              </w:rPr>
              <w:t>单位提供正本壹份、副本伍份投标文件；在每一份投标文件上应明确注明“正本”或“副本”字样，如正、副本之间有差异，以正本为准。电子版投标文件U盘或光盘（不予退还）两份装入投标文件封袋内。</w:t>
            </w:r>
          </w:p>
          <w:p w14:paraId="50D43577">
            <w:pPr>
              <w:pStyle w:val="34"/>
              <w:widowControl w:val="0"/>
              <w:adjustRightInd w:val="0"/>
              <w:snapToGrid w:val="0"/>
              <w:rPr>
                <w:rStyle w:val="42"/>
                <w:rFonts w:cs="宋体"/>
                <w:color w:val="auto"/>
                <w:sz w:val="21"/>
                <w:highlight w:val="none"/>
              </w:rPr>
            </w:pPr>
            <w:r>
              <w:rPr>
                <w:rFonts w:hint="eastAsia" w:cs="宋体"/>
                <w:color w:val="auto"/>
                <w:sz w:val="21"/>
                <w:highlight w:val="none"/>
              </w:rPr>
              <w:t>（2）装订要求：投标文件的正本和副本一律用A4复印纸（图、表及证件可以除外）编制和复制。投标文件的正本和副本应采用粘贴方式左侧装订，不得采用活页夹等可随时拆换的方式装订，不得有零散页。若同一册的内容较多，可装订成若干分册，并在封面标明次序及册数。投标文件中的证明、证件及附件等的复制件应集中紧附在相应正文内容后面，并尽量与前面正文部分的顺序相对应。</w:t>
            </w:r>
          </w:p>
          <w:p w14:paraId="781403D9">
            <w:pPr>
              <w:pStyle w:val="34"/>
              <w:widowControl w:val="0"/>
              <w:adjustRightInd w:val="0"/>
              <w:snapToGrid w:val="0"/>
              <w:rPr>
                <w:rStyle w:val="42"/>
                <w:rFonts w:cs="宋体"/>
                <w:b w:val="0"/>
                <w:bCs w:val="0"/>
                <w:color w:val="auto"/>
                <w:sz w:val="21"/>
                <w:highlight w:val="none"/>
              </w:rPr>
            </w:pPr>
            <w:r>
              <w:rPr>
                <w:rFonts w:hint="eastAsia" w:cs="宋体"/>
                <w:color w:val="auto"/>
                <w:sz w:val="21"/>
                <w:highlight w:val="none"/>
              </w:rPr>
              <w:t>（3）</w:t>
            </w:r>
            <w:r>
              <w:rPr>
                <w:rStyle w:val="42"/>
                <w:rFonts w:hint="eastAsia" w:cs="宋体"/>
                <w:b w:val="0"/>
                <w:bCs w:val="0"/>
                <w:color w:val="auto"/>
                <w:sz w:val="21"/>
                <w:highlight w:val="none"/>
              </w:rPr>
              <w:t>投标人提交的投标文件必须唯一有效，投标文件正本须打印并由法定代表人或委托代理人签字或盖章，所盖章必须是红章。</w:t>
            </w:r>
          </w:p>
          <w:p w14:paraId="32E49212">
            <w:pPr>
              <w:pStyle w:val="34"/>
              <w:widowControl w:val="0"/>
              <w:adjustRightInd w:val="0"/>
              <w:snapToGrid w:val="0"/>
              <w:rPr>
                <w:rStyle w:val="42"/>
                <w:rFonts w:cs="宋体"/>
                <w:b w:val="0"/>
                <w:bCs w:val="0"/>
                <w:color w:val="auto"/>
                <w:sz w:val="21"/>
                <w:highlight w:val="none"/>
              </w:rPr>
            </w:pPr>
            <w:r>
              <w:rPr>
                <w:rStyle w:val="42"/>
                <w:rFonts w:hint="eastAsia" w:cs="宋体"/>
                <w:b w:val="0"/>
                <w:bCs w:val="0"/>
                <w:color w:val="auto"/>
                <w:sz w:val="21"/>
                <w:highlight w:val="none"/>
              </w:rPr>
              <w:t>投标文件副本的上述签名及盖章之处既可由投标人的法定代表人或其委托代理人亲笔签署,也可通过复印正本将上述签名及盖章复制到副本上。</w:t>
            </w:r>
          </w:p>
          <w:p w14:paraId="05C4884C">
            <w:pPr>
              <w:pStyle w:val="34"/>
              <w:widowControl w:val="0"/>
              <w:adjustRightInd w:val="0"/>
              <w:snapToGrid w:val="0"/>
              <w:rPr>
                <w:rStyle w:val="42"/>
                <w:rFonts w:cs="宋体"/>
                <w:b w:val="0"/>
                <w:bCs w:val="0"/>
                <w:color w:val="auto"/>
                <w:sz w:val="21"/>
                <w:highlight w:val="none"/>
              </w:rPr>
            </w:pPr>
            <w:r>
              <w:rPr>
                <w:rFonts w:hint="eastAsia" w:cs="宋体"/>
                <w:color w:val="auto"/>
                <w:sz w:val="21"/>
                <w:highlight w:val="none"/>
              </w:rPr>
              <w:t>（4）</w:t>
            </w:r>
            <w:r>
              <w:rPr>
                <w:rStyle w:val="42"/>
                <w:rFonts w:hint="eastAsia" w:cs="宋体"/>
                <w:b w:val="0"/>
                <w:bCs w:val="0"/>
                <w:color w:val="auto"/>
                <w:sz w:val="21"/>
                <w:highlight w:val="none"/>
              </w:rPr>
              <w:t>投标文件的包装和密封：项目名称、编号、竞标人名称、年月日。</w:t>
            </w:r>
          </w:p>
          <w:p w14:paraId="5FAD7139">
            <w:pPr>
              <w:pStyle w:val="22"/>
              <w:adjustRightInd w:val="0"/>
              <w:snapToGrid w:val="0"/>
              <w:rPr>
                <w:rStyle w:val="42"/>
                <w:rFonts w:hAnsi="宋体" w:cs="宋体"/>
                <w:b w:val="0"/>
                <w:color w:val="auto"/>
                <w:kern w:val="0"/>
                <w:highlight w:val="none"/>
              </w:rPr>
            </w:pPr>
            <w:r>
              <w:rPr>
                <w:rFonts w:hint="eastAsia" w:hAnsi="宋体" w:cs="宋体"/>
                <w:color w:val="auto"/>
                <w:kern w:val="0"/>
                <w:highlight w:val="none"/>
              </w:rPr>
              <w:t>（5）</w:t>
            </w:r>
            <w:r>
              <w:rPr>
                <w:rStyle w:val="42"/>
                <w:rFonts w:hint="eastAsia" w:hAnsi="宋体" w:cs="宋体"/>
                <w:b w:val="0"/>
                <w:bCs w:val="0"/>
                <w:color w:val="auto"/>
                <w:kern w:val="0"/>
                <w:highlight w:val="none"/>
              </w:rPr>
              <w:t>封套上写明：响应文件正本和副本的封面上均应标明：项目名称、项目编号、供应商名称、年月日；并分别在右上角标明“正本”和“副本”字样</w:t>
            </w:r>
          </w:p>
          <w:p w14:paraId="1BDD7898">
            <w:pPr>
              <w:pStyle w:val="22"/>
              <w:snapToGrid w:val="0"/>
              <w:spacing w:line="360" w:lineRule="auto"/>
              <w:rPr>
                <w:rStyle w:val="42"/>
                <w:rFonts w:hAnsi="宋体" w:cs="宋体"/>
                <w:b w:val="0"/>
                <w:color w:val="auto"/>
                <w:kern w:val="0"/>
                <w:highlight w:val="none"/>
              </w:rPr>
            </w:pPr>
            <w:r>
              <w:rPr>
                <w:rStyle w:val="42"/>
                <w:rFonts w:hint="eastAsia" w:hAnsi="宋体" w:cs="宋体"/>
                <w:b w:val="0"/>
                <w:color w:val="auto"/>
                <w:kern w:val="0"/>
                <w:highlight w:val="none"/>
              </w:rPr>
              <w:sym w:font="Wingdings 2" w:char="0052"/>
            </w:r>
            <w:r>
              <w:rPr>
                <w:rStyle w:val="42"/>
                <w:rFonts w:hint="eastAsia" w:hAnsi="宋体" w:cs="宋体"/>
                <w:b w:val="0"/>
                <w:color w:val="auto"/>
                <w:kern w:val="0"/>
                <w:highlight w:val="none"/>
              </w:rPr>
              <w:t>采用不见面开标：</w:t>
            </w:r>
          </w:p>
          <w:p w14:paraId="1A680D61">
            <w:pPr>
              <w:pStyle w:val="34"/>
              <w:spacing w:line="360" w:lineRule="auto"/>
              <w:rPr>
                <w:rStyle w:val="42"/>
                <w:rFonts w:cs="宋体"/>
                <w:b w:val="0"/>
                <w:color w:val="auto"/>
                <w:sz w:val="21"/>
                <w:highlight w:val="none"/>
              </w:rPr>
            </w:pPr>
            <w:r>
              <w:rPr>
                <w:rStyle w:val="42"/>
                <w:rFonts w:hint="eastAsia" w:cs="宋体"/>
                <w:b w:val="0"/>
                <w:color w:val="auto"/>
                <w:sz w:val="21"/>
                <w:highlight w:val="none"/>
              </w:rPr>
              <w:t>①递交投标文件截止时间：2026年</w:t>
            </w:r>
            <w:r>
              <w:rPr>
                <w:rStyle w:val="42"/>
                <w:rFonts w:hint="eastAsia" w:cs="宋体"/>
                <w:b w:val="0"/>
                <w:color w:val="auto"/>
                <w:sz w:val="21"/>
                <w:highlight w:val="none"/>
                <w:lang w:val="en-US" w:eastAsia="zh-CN"/>
              </w:rPr>
              <w:t>10</w:t>
            </w:r>
            <w:r>
              <w:rPr>
                <w:rStyle w:val="42"/>
                <w:rFonts w:hint="eastAsia" w:cs="宋体"/>
                <w:b w:val="0"/>
                <w:color w:val="auto"/>
                <w:sz w:val="21"/>
                <w:highlight w:val="none"/>
              </w:rPr>
              <w:t>月</w:t>
            </w:r>
            <w:r>
              <w:rPr>
                <w:rStyle w:val="42"/>
                <w:rFonts w:hint="eastAsia" w:cs="宋体"/>
                <w:b w:val="0"/>
                <w:color w:val="auto"/>
                <w:sz w:val="21"/>
                <w:highlight w:val="none"/>
                <w:lang w:val="en-US" w:eastAsia="zh-CN"/>
              </w:rPr>
              <w:t>21</w:t>
            </w:r>
            <w:r>
              <w:rPr>
                <w:rStyle w:val="42"/>
                <w:rFonts w:hint="eastAsia" w:cs="宋体"/>
                <w:b w:val="0"/>
                <w:color w:val="auto"/>
                <w:sz w:val="21"/>
                <w:highlight w:val="none"/>
              </w:rPr>
              <w:t>日</w:t>
            </w:r>
            <w:r>
              <w:rPr>
                <w:rStyle w:val="42"/>
                <w:rFonts w:hint="eastAsia" w:cs="宋体"/>
                <w:b w:val="0"/>
                <w:color w:val="auto"/>
                <w:sz w:val="21"/>
                <w:highlight w:val="none"/>
                <w:lang w:val="en-US" w:eastAsia="zh-CN"/>
              </w:rPr>
              <w:t>10</w:t>
            </w:r>
            <w:r>
              <w:rPr>
                <w:rStyle w:val="42"/>
                <w:rFonts w:hint="eastAsia" w:cs="宋体"/>
                <w:b w:val="0"/>
                <w:color w:val="auto"/>
                <w:sz w:val="21"/>
                <w:highlight w:val="none"/>
              </w:rPr>
              <w:t>时</w:t>
            </w:r>
            <w:r>
              <w:rPr>
                <w:rStyle w:val="42"/>
                <w:rFonts w:hint="eastAsia" w:cs="宋体"/>
                <w:b w:val="0"/>
                <w:color w:val="auto"/>
                <w:sz w:val="21"/>
                <w:highlight w:val="none"/>
                <w:lang w:val="en-US" w:eastAsia="zh-CN"/>
              </w:rPr>
              <w:t>30</w:t>
            </w:r>
            <w:r>
              <w:rPr>
                <w:rStyle w:val="42"/>
                <w:rFonts w:hint="eastAsia" w:cs="宋体"/>
                <w:b w:val="0"/>
                <w:color w:val="auto"/>
                <w:sz w:val="21"/>
                <w:highlight w:val="none"/>
              </w:rPr>
              <w:t>分</w:t>
            </w:r>
          </w:p>
          <w:p w14:paraId="24D5F185">
            <w:pPr>
              <w:pStyle w:val="34"/>
              <w:spacing w:line="360" w:lineRule="auto"/>
              <w:rPr>
                <w:rStyle w:val="42"/>
                <w:rFonts w:cs="宋体"/>
                <w:b w:val="0"/>
                <w:color w:val="auto"/>
                <w:sz w:val="21"/>
                <w:highlight w:val="none"/>
              </w:rPr>
            </w:pPr>
            <w:r>
              <w:rPr>
                <w:rStyle w:val="42"/>
                <w:rFonts w:hint="eastAsia" w:cs="宋体"/>
                <w:b w:val="0"/>
                <w:color w:val="auto"/>
                <w:sz w:val="21"/>
                <w:highlight w:val="none"/>
              </w:rPr>
              <w:t>递交投标文件时间：2026年</w:t>
            </w:r>
            <w:r>
              <w:rPr>
                <w:rStyle w:val="42"/>
                <w:rFonts w:hint="eastAsia" w:cs="宋体"/>
                <w:b w:val="0"/>
                <w:color w:val="auto"/>
                <w:sz w:val="21"/>
                <w:highlight w:val="none"/>
                <w:lang w:val="en-US" w:eastAsia="zh-CN"/>
              </w:rPr>
              <w:t>10</w:t>
            </w:r>
            <w:r>
              <w:rPr>
                <w:rStyle w:val="42"/>
                <w:rFonts w:hint="eastAsia" w:cs="宋体"/>
                <w:b w:val="0"/>
                <w:color w:val="auto"/>
                <w:sz w:val="21"/>
                <w:highlight w:val="none"/>
              </w:rPr>
              <w:t>月</w:t>
            </w:r>
            <w:r>
              <w:rPr>
                <w:rStyle w:val="42"/>
                <w:rFonts w:hint="eastAsia" w:cs="宋体"/>
                <w:b w:val="0"/>
                <w:color w:val="auto"/>
                <w:sz w:val="21"/>
                <w:highlight w:val="none"/>
                <w:lang w:val="en-US" w:eastAsia="zh-CN"/>
              </w:rPr>
              <w:t>21</w:t>
            </w:r>
            <w:r>
              <w:rPr>
                <w:rStyle w:val="42"/>
                <w:rFonts w:hint="eastAsia" w:cs="宋体"/>
                <w:b w:val="0"/>
                <w:color w:val="auto"/>
                <w:sz w:val="21"/>
                <w:highlight w:val="none"/>
              </w:rPr>
              <w:t>日</w:t>
            </w:r>
            <w:r>
              <w:rPr>
                <w:rStyle w:val="42"/>
                <w:rFonts w:hint="eastAsia" w:cs="宋体"/>
                <w:b w:val="0"/>
                <w:color w:val="auto"/>
                <w:sz w:val="21"/>
                <w:highlight w:val="none"/>
                <w:lang w:val="en-US" w:eastAsia="zh-CN"/>
              </w:rPr>
              <w:t>10</w:t>
            </w:r>
            <w:r>
              <w:rPr>
                <w:rStyle w:val="42"/>
                <w:rFonts w:hint="eastAsia" w:cs="宋体"/>
                <w:b w:val="0"/>
                <w:color w:val="auto"/>
                <w:sz w:val="21"/>
                <w:highlight w:val="none"/>
              </w:rPr>
              <w:t>：</w:t>
            </w:r>
            <w:r>
              <w:rPr>
                <w:rStyle w:val="42"/>
                <w:rFonts w:hint="eastAsia" w:cs="宋体"/>
                <w:b w:val="0"/>
                <w:color w:val="auto"/>
                <w:sz w:val="21"/>
                <w:highlight w:val="none"/>
                <w:lang w:val="en-US" w:eastAsia="zh-CN"/>
              </w:rPr>
              <w:t>0</w:t>
            </w:r>
            <w:r>
              <w:rPr>
                <w:rStyle w:val="42"/>
                <w:rFonts w:hint="eastAsia" w:cs="宋体"/>
                <w:b w:val="0"/>
                <w:color w:val="auto"/>
                <w:sz w:val="21"/>
                <w:highlight w:val="none"/>
              </w:rPr>
              <w:t>0～</w:t>
            </w:r>
            <w:r>
              <w:rPr>
                <w:rStyle w:val="42"/>
                <w:rFonts w:hint="eastAsia" w:cs="宋体"/>
                <w:b w:val="0"/>
                <w:color w:val="auto"/>
                <w:sz w:val="21"/>
                <w:highlight w:val="none"/>
                <w:lang w:val="en-US" w:eastAsia="zh-CN"/>
              </w:rPr>
              <w:t>10</w:t>
            </w:r>
            <w:r>
              <w:rPr>
                <w:rStyle w:val="42"/>
                <w:rFonts w:hint="eastAsia" w:cs="宋体"/>
                <w:b w:val="0"/>
                <w:color w:val="auto"/>
                <w:sz w:val="21"/>
                <w:highlight w:val="none"/>
              </w:rPr>
              <w:t>：</w:t>
            </w:r>
            <w:r>
              <w:rPr>
                <w:rStyle w:val="42"/>
                <w:rFonts w:hint="eastAsia" w:cs="宋体"/>
                <w:b w:val="0"/>
                <w:color w:val="auto"/>
                <w:sz w:val="21"/>
                <w:highlight w:val="none"/>
                <w:lang w:val="en-US" w:eastAsia="zh-CN"/>
              </w:rPr>
              <w:t>3</w:t>
            </w:r>
            <w:r>
              <w:rPr>
                <w:rStyle w:val="42"/>
                <w:rFonts w:hint="eastAsia" w:cs="宋体"/>
                <w:b w:val="0"/>
                <w:color w:val="auto"/>
                <w:sz w:val="21"/>
                <w:highlight w:val="none"/>
              </w:rPr>
              <w:t>0</w:t>
            </w:r>
          </w:p>
          <w:p w14:paraId="3E9F4665">
            <w:pPr>
              <w:spacing w:line="288" w:lineRule="auto"/>
              <w:rPr>
                <w:rFonts w:ascii="宋体" w:hAnsi="宋体" w:cs="宋体"/>
                <w:color w:val="auto"/>
                <w:highlight w:val="none"/>
              </w:rPr>
            </w:pPr>
            <w:r>
              <w:rPr>
                <w:rStyle w:val="42"/>
                <w:rFonts w:hint="eastAsia" w:ascii="宋体" w:hAnsi="宋体" w:cs="宋体"/>
                <w:b w:val="0"/>
                <w:color w:val="auto"/>
                <w:kern w:val="0"/>
                <w:highlight w:val="none"/>
              </w:rPr>
              <w:t>②电子响应文件递交方式及时间：2026年</w:t>
            </w:r>
            <w:r>
              <w:rPr>
                <w:rStyle w:val="42"/>
                <w:rFonts w:hint="eastAsia" w:ascii="宋体" w:hAnsi="宋体" w:cs="宋体"/>
                <w:b w:val="0"/>
                <w:color w:val="auto"/>
                <w:kern w:val="0"/>
                <w:highlight w:val="none"/>
                <w:lang w:val="en-US" w:eastAsia="zh-CN"/>
              </w:rPr>
              <w:t>10</w:t>
            </w:r>
            <w:r>
              <w:rPr>
                <w:rStyle w:val="42"/>
                <w:rFonts w:hint="eastAsia" w:ascii="宋体" w:hAnsi="宋体" w:cs="宋体"/>
                <w:b w:val="0"/>
                <w:color w:val="auto"/>
                <w:kern w:val="0"/>
                <w:highlight w:val="none"/>
              </w:rPr>
              <w:t>月</w:t>
            </w:r>
            <w:r>
              <w:rPr>
                <w:rStyle w:val="42"/>
                <w:rFonts w:hint="eastAsia" w:ascii="宋体" w:hAnsi="宋体" w:cs="宋体"/>
                <w:b w:val="0"/>
                <w:color w:val="auto"/>
                <w:kern w:val="0"/>
                <w:highlight w:val="none"/>
                <w:lang w:val="en-US" w:eastAsia="zh-CN"/>
              </w:rPr>
              <w:t>21</w:t>
            </w:r>
            <w:r>
              <w:rPr>
                <w:rStyle w:val="42"/>
                <w:rFonts w:hint="eastAsia" w:ascii="宋体" w:hAnsi="宋体" w:cs="宋体"/>
                <w:b w:val="0"/>
                <w:color w:val="auto"/>
                <w:kern w:val="0"/>
                <w:highlight w:val="none"/>
              </w:rPr>
              <w:t>日</w:t>
            </w:r>
            <w:r>
              <w:rPr>
                <w:rStyle w:val="42"/>
                <w:rFonts w:hint="eastAsia" w:ascii="宋体" w:hAnsi="宋体" w:cs="宋体"/>
                <w:b w:val="0"/>
                <w:color w:val="auto"/>
                <w:kern w:val="0"/>
                <w:highlight w:val="none"/>
                <w:lang w:val="en-US" w:eastAsia="zh-CN"/>
              </w:rPr>
              <w:t>10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00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10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30</w:t>
            </w:r>
            <w:r>
              <w:rPr>
                <w:rStyle w:val="42"/>
                <w:rFonts w:hint="eastAsia" w:ascii="宋体" w:hAnsi="宋体" w:cs="宋体"/>
                <w:b w:val="0"/>
                <w:color w:val="auto"/>
                <w:kern w:val="0"/>
                <w:highlight w:val="none"/>
              </w:rPr>
              <w:t>将各自加密电子版投标文件压缩包（加密要求：只能对压缩包进行加密，不得再对压缩包内的任何文件进行加密）发至XJHYGSZB@163.com邮箱，如未按要求时间提前或逾期发至指定邮箱的，不予接收其响应文件。各投标人须在递交投标文件截止时间后15分钟内（2026年</w:t>
            </w:r>
            <w:r>
              <w:rPr>
                <w:rStyle w:val="42"/>
                <w:rFonts w:hint="eastAsia" w:ascii="宋体" w:hAnsi="宋体" w:cs="宋体"/>
                <w:b w:val="0"/>
                <w:color w:val="auto"/>
                <w:kern w:val="0"/>
                <w:highlight w:val="none"/>
                <w:lang w:val="en-US" w:eastAsia="zh-CN"/>
              </w:rPr>
              <w:t>10</w:t>
            </w:r>
            <w:r>
              <w:rPr>
                <w:rStyle w:val="42"/>
                <w:rFonts w:hint="eastAsia" w:ascii="宋体" w:hAnsi="宋体" w:cs="宋体"/>
                <w:b w:val="0"/>
                <w:color w:val="auto"/>
                <w:kern w:val="0"/>
                <w:highlight w:val="none"/>
              </w:rPr>
              <w:t>月</w:t>
            </w:r>
            <w:r>
              <w:rPr>
                <w:rStyle w:val="42"/>
                <w:rFonts w:hint="eastAsia" w:ascii="宋体" w:hAnsi="宋体" w:cs="宋体"/>
                <w:b w:val="0"/>
                <w:color w:val="auto"/>
                <w:kern w:val="0"/>
                <w:highlight w:val="none"/>
                <w:lang w:val="en-US" w:eastAsia="zh-CN"/>
              </w:rPr>
              <w:t>21</w:t>
            </w:r>
            <w:r>
              <w:rPr>
                <w:rStyle w:val="42"/>
                <w:rFonts w:hint="eastAsia" w:ascii="宋体" w:hAnsi="宋体" w:cs="宋体"/>
                <w:b w:val="0"/>
                <w:color w:val="auto"/>
                <w:kern w:val="0"/>
                <w:highlight w:val="none"/>
              </w:rPr>
              <w:t>日</w:t>
            </w:r>
            <w:r>
              <w:rPr>
                <w:rStyle w:val="42"/>
                <w:rFonts w:hint="eastAsia" w:ascii="宋体" w:hAnsi="宋体" w:cs="宋体"/>
                <w:b w:val="0"/>
                <w:color w:val="auto"/>
                <w:kern w:val="0"/>
                <w:highlight w:val="none"/>
                <w:lang w:val="en-US" w:eastAsia="zh-CN"/>
              </w:rPr>
              <w:t>10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30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10</w:t>
            </w:r>
            <w:r>
              <w:rPr>
                <w:rStyle w:val="42"/>
                <w:rFonts w:hint="eastAsia" w:ascii="宋体" w:hAnsi="宋体" w:cs="宋体"/>
                <w:b w:val="0"/>
                <w:color w:val="auto"/>
                <w:kern w:val="0"/>
                <w:highlight w:val="none"/>
              </w:rPr>
              <w:t>：</w:t>
            </w:r>
            <w:r>
              <w:rPr>
                <w:rStyle w:val="42"/>
                <w:rFonts w:hint="eastAsia" w:ascii="宋体" w:hAnsi="宋体" w:cs="宋体"/>
                <w:b w:val="0"/>
                <w:color w:val="auto"/>
                <w:kern w:val="0"/>
                <w:highlight w:val="none"/>
                <w:lang w:val="en-US" w:eastAsia="zh-CN"/>
              </w:rPr>
              <w:t>4</w:t>
            </w:r>
            <w:r>
              <w:rPr>
                <w:rStyle w:val="42"/>
                <w:rFonts w:hint="eastAsia" w:ascii="宋体" w:hAnsi="宋体" w:cs="宋体"/>
                <w:b w:val="0"/>
                <w:color w:val="auto"/>
                <w:kern w:val="0"/>
                <w:highlight w:val="none"/>
              </w:rPr>
              <w:t>5发至XJHYGSZB@163.com邮箱，如未按要求发至指定邮箱的，视为其递交的投标文件为无效响应文件，不予接收。邮件名称必须为项目名称+投标单位名称</w:t>
            </w:r>
          </w:p>
        </w:tc>
      </w:tr>
      <w:tr w14:paraId="61396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77574D2">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14:paraId="100F6D71">
            <w:pPr>
              <w:spacing w:line="288" w:lineRule="auto"/>
              <w:jc w:val="center"/>
              <w:rPr>
                <w:rFonts w:hAnsi="宋体" w:cs="Arial"/>
                <w:bCs/>
                <w:color w:val="auto"/>
                <w:highlight w:val="none"/>
              </w:rPr>
            </w:pPr>
            <w:r>
              <w:rPr>
                <w:rFonts w:hint="eastAsia" w:hAnsi="宋体" w:cs="Arial"/>
                <w:bCs/>
                <w:color w:val="auto"/>
                <w:highlight w:val="none"/>
              </w:rPr>
              <w:t>开标时间</w:t>
            </w:r>
          </w:p>
          <w:p w14:paraId="3AE630AA">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14:paraId="2BE5AE78">
            <w:pPr>
              <w:spacing w:line="288" w:lineRule="auto"/>
              <w:rPr>
                <w:color w:val="auto"/>
                <w:highlight w:val="none"/>
              </w:rPr>
            </w:pPr>
            <w:r>
              <w:rPr>
                <w:rFonts w:hint="eastAsia"/>
                <w:color w:val="auto"/>
                <w:highlight w:val="none"/>
              </w:rPr>
              <w:t>开标时间：2026年</w:t>
            </w:r>
            <w:r>
              <w:rPr>
                <w:rFonts w:hint="eastAsia"/>
                <w:color w:val="auto"/>
                <w:highlight w:val="none"/>
                <w:lang w:val="en-US" w:eastAsia="zh-CN"/>
              </w:rPr>
              <w:t>10</w:t>
            </w:r>
            <w:r>
              <w:rPr>
                <w:rFonts w:hint="eastAsia"/>
                <w:color w:val="auto"/>
                <w:highlight w:val="none"/>
              </w:rPr>
              <w:t>月</w:t>
            </w:r>
            <w:r>
              <w:rPr>
                <w:rFonts w:hint="eastAsia"/>
                <w:color w:val="auto"/>
                <w:highlight w:val="none"/>
                <w:lang w:val="en-US" w:eastAsia="zh-CN"/>
              </w:rPr>
              <w:t>21</w:t>
            </w:r>
            <w:r>
              <w:rPr>
                <w:rFonts w:hint="eastAsia"/>
                <w:color w:val="auto"/>
                <w:highlight w:val="none"/>
              </w:rPr>
              <w:t>日</w:t>
            </w:r>
            <w:r>
              <w:rPr>
                <w:rFonts w:hint="eastAsia"/>
                <w:color w:val="auto"/>
                <w:highlight w:val="none"/>
                <w:lang w:val="en-US" w:eastAsia="zh-CN"/>
              </w:rPr>
              <w:t>10</w:t>
            </w:r>
            <w:r>
              <w:rPr>
                <w:rFonts w:hint="eastAsia"/>
                <w:color w:val="auto"/>
                <w:highlight w:val="none"/>
              </w:rPr>
              <w:t>点</w:t>
            </w:r>
            <w:r>
              <w:rPr>
                <w:rFonts w:hint="eastAsia"/>
                <w:color w:val="auto"/>
                <w:highlight w:val="none"/>
                <w:lang w:val="en-US" w:eastAsia="zh-CN"/>
              </w:rPr>
              <w:t>30</w:t>
            </w:r>
            <w:r>
              <w:rPr>
                <w:rFonts w:hint="eastAsia"/>
                <w:color w:val="auto"/>
                <w:highlight w:val="none"/>
              </w:rPr>
              <w:t>分(北京时间)</w:t>
            </w:r>
          </w:p>
          <w:p w14:paraId="2562FABA">
            <w:pPr>
              <w:spacing w:line="288" w:lineRule="auto"/>
              <w:rPr>
                <w:color w:val="auto"/>
                <w:highlight w:val="none"/>
              </w:rPr>
            </w:pPr>
            <w:r>
              <w:rPr>
                <w:rFonts w:hint="eastAsia"/>
                <w:color w:val="auto"/>
                <w:highlight w:val="none"/>
              </w:rPr>
              <w:t>开标地点：</w:t>
            </w:r>
            <w:r>
              <w:rPr>
                <w:rFonts w:hint="eastAsia"/>
                <w:color w:val="auto"/>
                <w:highlight w:val="none"/>
              </w:rPr>
              <w:t>克拉玛依市恒隆广场A座412-1室</w:t>
            </w:r>
          </w:p>
        </w:tc>
      </w:tr>
      <w:tr w14:paraId="19D3A6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3843C68">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14:paraId="330E4F8D">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14:paraId="470EB21C">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14:paraId="1238F6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7A75D88">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14:paraId="1ABC0CDD">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14:paraId="3B4647B0">
            <w:pPr>
              <w:pStyle w:val="223"/>
              <w:ind w:firstLine="420"/>
              <w:rPr>
                <w:color w:val="auto"/>
                <w:highlight w:val="none"/>
              </w:rPr>
            </w:pPr>
            <w:r>
              <w:rPr>
                <w:rFonts w:hint="eastAsia" w:ascii="宋体" w:hAnsi="宋体" w:eastAsia="宋体" w:cs="宋体"/>
                <w:bCs/>
                <w:color w:val="auto"/>
                <w:sz w:val="21"/>
                <w:highlight w:val="none"/>
              </w:rPr>
              <w:t>合同签订前，中标单位按照中标金额的</w:t>
            </w:r>
            <w:r>
              <w:rPr>
                <w:rFonts w:hint="eastAsia" w:ascii="宋体" w:hAnsi="宋体" w:eastAsia="宋体" w:cs="宋体"/>
                <w:bCs/>
                <w:color w:val="auto"/>
                <w:sz w:val="21"/>
                <w:highlight w:val="none"/>
                <w:lang w:val="en-US" w:eastAsia="zh-CN"/>
              </w:rPr>
              <w:t>0</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rPr>
              <w:t>向甲方足额一次性缴纳履约保证金。中标单位按合同约定交付全部产品，安装调试完毕，书面验收合格一年后（如一个项目含有多个产品，以最后一个产品书面验收合格时间为起算时间），采购单位无息退还全部履约保证金。</w:t>
            </w:r>
          </w:p>
        </w:tc>
      </w:tr>
      <w:tr w14:paraId="3EAFF4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2E5F9026">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14:paraId="2329DE91">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14:paraId="184C3593">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详见本招标文件投标人须知第22条。</w:t>
            </w:r>
          </w:p>
        </w:tc>
      </w:tr>
      <w:tr w14:paraId="76479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F36A5BA">
            <w:pPr>
              <w:spacing w:line="300" w:lineRule="exact"/>
              <w:jc w:val="center"/>
              <w:rPr>
                <w:rFonts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14:paraId="6E80D2CB">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14:paraId="5F23AA42">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14:paraId="5C4D2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29A2898">
            <w:pPr>
              <w:spacing w:line="300" w:lineRule="exact"/>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14:paraId="5F142BC1">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国家规定的优先、强制采购范围（节能、环保）等</w:t>
            </w:r>
          </w:p>
        </w:tc>
        <w:tc>
          <w:tcPr>
            <w:tcW w:w="6639" w:type="dxa"/>
            <w:tcBorders>
              <w:top w:val="single" w:color="auto" w:sz="4" w:space="0"/>
              <w:left w:val="single" w:color="auto" w:sz="4" w:space="0"/>
              <w:bottom w:val="single" w:color="auto" w:sz="4" w:space="0"/>
              <w:right w:val="single" w:color="auto" w:sz="4" w:space="0"/>
            </w:tcBorders>
            <w:vAlign w:val="center"/>
          </w:tcPr>
          <w:p w14:paraId="23DF7178">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1.</w:t>
            </w:r>
            <w:r>
              <w:rPr>
                <w:color w:val="auto"/>
                <w:highlight w:val="none"/>
              </w:rPr>
              <w:t>根据《国家市场监督管理总局关于发布强制性产品认证目录描述与界定表的公告》（2023年第36号）要求，</w:t>
            </w:r>
            <w:r>
              <w:rPr>
                <w:rFonts w:hint="eastAsia"/>
                <w:color w:val="auto"/>
                <w:highlight w:val="none"/>
              </w:rPr>
              <w:t>如</w:t>
            </w:r>
            <w:r>
              <w:rPr>
                <w:color w:val="auto"/>
                <w:highlight w:val="none"/>
              </w:rPr>
              <w:t>本项目</w:t>
            </w:r>
            <w:r>
              <w:rPr>
                <w:rFonts w:hint="eastAsia"/>
                <w:color w:val="auto"/>
                <w:highlight w:val="none"/>
              </w:rPr>
              <w:t>采购</w:t>
            </w:r>
            <w:r>
              <w:rPr>
                <w:color w:val="auto"/>
                <w:highlight w:val="none"/>
              </w:rPr>
              <w:t>产品属于《强制性产品认证目录》、《强制性产品认证目录描述与界定表（2023 年修订）》范围内产品的，应取得有效期内的强制性认证证书（CCC认证证书），供应商须在投标文件中提供认证证书复印件（加盖公章），否则将被视为无效投标。</w:t>
            </w:r>
          </w:p>
          <w:p w14:paraId="4E10C0B7">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供应商须在投标文件中提供认证证书复印件（加盖公章），否则将被视为无效投标。</w:t>
            </w:r>
          </w:p>
          <w:p w14:paraId="73BE0831">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印件（加盖公章），否则不予认定。</w:t>
            </w:r>
          </w:p>
        </w:tc>
      </w:tr>
      <w:tr w14:paraId="4D9ED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6C0649A">
            <w:pPr>
              <w:spacing w:line="300" w:lineRule="exact"/>
              <w:jc w:val="center"/>
              <w:rPr>
                <w:rFonts w:hAnsi="宋体" w:cs="Arial"/>
                <w:bCs/>
                <w:color w:val="auto"/>
                <w:highlight w:val="none"/>
              </w:rPr>
            </w:pPr>
            <w:r>
              <w:rPr>
                <w:rFonts w:hint="eastAsia"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14:paraId="6DE02024">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14:paraId="4A3DE7C2">
            <w:pPr>
              <w:spacing w:line="288" w:lineRule="auto"/>
              <w:jc w:val="left"/>
              <w:rPr>
                <w:rFonts w:ascii="宋体" w:hAnsi="宋体" w:cs="Arial"/>
                <w:bCs/>
                <w:color w:val="auto"/>
                <w:highlight w:val="none"/>
              </w:rPr>
            </w:pPr>
            <w:r>
              <w:rPr>
                <w:rFonts w:hint="eastAsia" w:ascii="宋体" w:hAnsi="宋体" w:cs="Arial"/>
                <w:bCs/>
                <w:color w:val="auto"/>
                <w:highlight w:val="none"/>
              </w:rPr>
              <w:t>经与采购人协商，本项目招标代理服务费由中标供应商支付，招标代理费金额为：2115元（大写：人民币贰仟壹佰壹拾伍元整），中标供应商凭招标代理服务费缴纳凭证领取中标通知书。</w:t>
            </w:r>
          </w:p>
          <w:p w14:paraId="43F0DFDC">
            <w:pPr>
              <w:spacing w:line="288" w:lineRule="auto"/>
              <w:jc w:val="left"/>
              <w:rPr>
                <w:rFonts w:ascii="宋体" w:hAnsi="宋体" w:cs="Arial"/>
                <w:bCs/>
                <w:color w:val="auto"/>
                <w:highlight w:val="none"/>
              </w:rPr>
            </w:pPr>
            <w:r>
              <w:rPr>
                <w:rFonts w:hint="eastAsia" w:ascii="宋体" w:hAnsi="宋体" w:cs="Arial"/>
                <w:bCs/>
                <w:color w:val="auto"/>
                <w:highlight w:val="none"/>
              </w:rPr>
              <w:t>代理费缴纳账户：</w:t>
            </w:r>
          </w:p>
          <w:p w14:paraId="0AC8C15C">
            <w:pPr>
              <w:spacing w:line="288" w:lineRule="auto"/>
              <w:jc w:val="left"/>
              <w:rPr>
                <w:rFonts w:ascii="宋体" w:hAnsi="宋体" w:cs="Arial"/>
                <w:bCs/>
                <w:color w:val="auto"/>
                <w:highlight w:val="none"/>
              </w:rPr>
            </w:pPr>
            <w:r>
              <w:rPr>
                <w:rFonts w:hint="eastAsia" w:ascii="宋体" w:hAnsi="宋体" w:cs="Arial"/>
                <w:bCs/>
                <w:color w:val="auto"/>
                <w:highlight w:val="none"/>
              </w:rPr>
              <w:t>账户名称：新疆宏宇建设工程项目管理有限责任公司克拉玛依咨询分公司</w:t>
            </w:r>
          </w:p>
          <w:p w14:paraId="52AE9002">
            <w:pPr>
              <w:spacing w:line="288" w:lineRule="auto"/>
              <w:jc w:val="left"/>
              <w:rPr>
                <w:rFonts w:ascii="宋体" w:hAnsi="宋体" w:cs="Arial"/>
                <w:bCs/>
                <w:color w:val="auto"/>
                <w:highlight w:val="none"/>
              </w:rPr>
            </w:pPr>
            <w:r>
              <w:rPr>
                <w:rFonts w:hint="eastAsia" w:ascii="宋体" w:hAnsi="宋体" w:cs="Arial"/>
                <w:bCs/>
                <w:color w:val="auto"/>
                <w:highlight w:val="none"/>
              </w:rPr>
              <w:t>地址：新疆克拉玛依市克拉玛依区新兴路339-401号（四楼）</w:t>
            </w:r>
          </w:p>
          <w:p w14:paraId="0DD76F4D">
            <w:pPr>
              <w:spacing w:line="288" w:lineRule="auto"/>
              <w:jc w:val="left"/>
              <w:rPr>
                <w:rFonts w:ascii="宋体" w:hAnsi="宋体" w:cs="Arial"/>
                <w:bCs/>
                <w:color w:val="auto"/>
                <w:highlight w:val="none"/>
              </w:rPr>
            </w:pPr>
            <w:r>
              <w:rPr>
                <w:rFonts w:hint="eastAsia" w:ascii="宋体" w:hAnsi="宋体" w:cs="Arial"/>
                <w:bCs/>
                <w:color w:val="auto"/>
                <w:highlight w:val="none"/>
              </w:rPr>
              <w:t>邮政编码：834000</w:t>
            </w:r>
          </w:p>
          <w:p w14:paraId="1CD596E5">
            <w:pPr>
              <w:spacing w:line="288" w:lineRule="auto"/>
              <w:jc w:val="left"/>
              <w:rPr>
                <w:rFonts w:ascii="宋体" w:hAnsi="宋体" w:cs="Arial"/>
                <w:bCs/>
                <w:color w:val="auto"/>
                <w:highlight w:val="none"/>
              </w:rPr>
            </w:pPr>
            <w:r>
              <w:rPr>
                <w:rFonts w:hint="eastAsia" w:ascii="宋体" w:hAnsi="宋体" w:cs="Arial"/>
                <w:bCs/>
                <w:color w:val="auto"/>
                <w:highlight w:val="none"/>
              </w:rPr>
              <w:t>开户行：昆仑银行股份有限公司克拉玛依分行</w:t>
            </w:r>
          </w:p>
          <w:p w14:paraId="490A9254">
            <w:pPr>
              <w:spacing w:line="288" w:lineRule="auto"/>
              <w:jc w:val="left"/>
              <w:rPr>
                <w:rFonts w:ascii="宋体" w:hAnsi="宋体" w:cs="Arial"/>
                <w:bCs/>
                <w:color w:val="auto"/>
                <w:highlight w:val="none"/>
              </w:rPr>
            </w:pPr>
            <w:r>
              <w:rPr>
                <w:rFonts w:hint="eastAsia" w:ascii="宋体" w:hAnsi="宋体" w:cs="Arial"/>
                <w:bCs/>
                <w:color w:val="auto"/>
                <w:highlight w:val="none"/>
              </w:rPr>
              <w:t>银行账号：88202221188980000027</w:t>
            </w:r>
          </w:p>
          <w:p w14:paraId="359C70C4">
            <w:pPr>
              <w:spacing w:line="288" w:lineRule="auto"/>
              <w:jc w:val="left"/>
              <w:rPr>
                <w:rFonts w:ascii="宋体" w:hAnsi="宋体" w:cs="Arial"/>
                <w:bCs/>
                <w:color w:val="auto"/>
                <w:highlight w:val="none"/>
              </w:rPr>
            </w:pPr>
            <w:r>
              <w:rPr>
                <w:rFonts w:hint="eastAsia" w:ascii="宋体" w:hAnsi="宋体" w:cs="Arial"/>
                <w:bCs/>
                <w:color w:val="auto"/>
                <w:highlight w:val="none"/>
              </w:rPr>
              <w:t>行号：313882000131</w:t>
            </w:r>
          </w:p>
        </w:tc>
      </w:tr>
      <w:tr w14:paraId="4F1A5D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1B5DB51">
            <w:pPr>
              <w:spacing w:line="300" w:lineRule="exact"/>
              <w:jc w:val="center"/>
              <w:rPr>
                <w:rFonts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14:paraId="18AB9D6D">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异常低价</w:t>
            </w:r>
          </w:p>
        </w:tc>
        <w:tc>
          <w:tcPr>
            <w:tcW w:w="6639" w:type="dxa"/>
            <w:tcBorders>
              <w:top w:val="single" w:color="auto" w:sz="4" w:space="0"/>
              <w:left w:val="single" w:color="auto" w:sz="4" w:space="0"/>
              <w:bottom w:val="single" w:color="auto" w:sz="4" w:space="0"/>
              <w:right w:val="single" w:color="auto" w:sz="4" w:space="0"/>
            </w:tcBorders>
            <w:vAlign w:val="center"/>
          </w:tcPr>
          <w:p w14:paraId="0AC320C3">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1.政府采购评审中出现下列情形之一的，评审委员会应当启动异常低价投标（响应）审查程序：</w:t>
            </w:r>
          </w:p>
          <w:p w14:paraId="7ACC9B39">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（1）投标（响应）报价低于全部通过符合性审查供应商投标（响应）报价平均值50%的，即投标（响应）报价&lt;全部通过符合性审查供应商投标（响应）报价平均值×50%；</w:t>
            </w:r>
          </w:p>
          <w:p w14:paraId="166BD75D">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（2）投标（响应）报价低于通过符合性审查的次低报价供应商投标（响应）报价50%的，即投标（响应）报价&lt;通过符合性审查的次低报价供应商投标（响应）报价×50%；</w:t>
            </w:r>
          </w:p>
          <w:p w14:paraId="4231D5CA">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（3）投标（响应）报价低于采购项目最高限价45%的，即投标（响应）报价&lt;采购项目最高限价×45%；</w:t>
            </w:r>
          </w:p>
          <w:p w14:paraId="0CE37968">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（4）评审委员会基于专业判断，认为供应商报价过低，有可能影响产品质量或者不能诚信履约的其他情形。</w:t>
            </w:r>
          </w:p>
          <w:p w14:paraId="0DB54827">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采购人可以结合具体项目实际情况，提高上述第1项至第3项中启动异常低价投标（响应）审查的数值标准，但是最高不得超过65%。</w:t>
            </w:r>
          </w:p>
          <w:p w14:paraId="7E9DAA93">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相关法律法规对供应商报价有规定的，从其规定。</w:t>
            </w:r>
          </w:p>
          <w:p w14:paraId="01A5C244">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3DCFF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18A9D29">
            <w:pPr>
              <w:spacing w:line="300" w:lineRule="exact"/>
              <w:jc w:val="center"/>
              <w:rPr>
                <w:rFonts w:cs="Arial"/>
                <w:bCs/>
                <w:color w:val="auto"/>
                <w:highlight w:val="none"/>
              </w:rPr>
            </w:pPr>
            <w:r>
              <w:rPr>
                <w:rFonts w:hint="eastAsia" w:cs="Arial"/>
                <w:bCs/>
                <w:color w:val="auto"/>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14:paraId="7DBC051C">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14:paraId="311CED7F">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本项目采购标的对应的中小企业划分标准所属行业：</w:t>
            </w:r>
            <w:r>
              <w:rPr>
                <w:rFonts w:hint="eastAsia" w:ascii="宋体" w:hAnsi="宋体" w:cs="宋体"/>
                <w:color w:val="auto"/>
                <w:spacing w:val="-4"/>
                <w:highlight w:val="none"/>
                <w:u w:val="double"/>
              </w:rPr>
              <w:t>工业</w:t>
            </w:r>
            <w:r>
              <w:rPr>
                <w:rFonts w:hint="eastAsia" w:ascii="宋体" w:hAnsi="宋体" w:cs="宋体"/>
                <w:color w:val="auto"/>
                <w:spacing w:val="-4"/>
                <w:highlight w:val="none"/>
              </w:rPr>
              <w:t xml:space="preserve">（根据工信部联企业〔2011〕300号中小企业划型标准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tc>
      </w:tr>
      <w:tr w14:paraId="151CD4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D6C2B0B">
            <w:pPr>
              <w:spacing w:line="300" w:lineRule="exact"/>
              <w:jc w:val="center"/>
              <w:rPr>
                <w:rFonts w:cs="Arial"/>
                <w:bCs/>
                <w:color w:val="auto"/>
                <w:highlight w:val="none"/>
              </w:rPr>
            </w:pPr>
            <w:r>
              <w:rPr>
                <w:rFonts w:hint="eastAsia" w:cs="Arial"/>
                <w:bCs/>
                <w:color w:val="auto"/>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14:paraId="69BC3B28">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14:paraId="7536589A">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14:paraId="40F1FB70">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1.</w:t>
            </w:r>
            <w:r>
              <w:rPr>
                <w:rFonts w:hint="eastAsia"/>
                <w:color w:val="auto"/>
                <w:highlight w:val="none"/>
                <w:lang w:val="zh-CN"/>
              </w:rPr>
              <w:t>本项目</w:t>
            </w:r>
            <w:r>
              <w:rPr>
                <w:rFonts w:hint="eastAsia"/>
                <w:color w:val="auto"/>
                <w:highlight w:val="none"/>
              </w:rPr>
              <w:t>专门面向</w:t>
            </w:r>
            <w:r>
              <w:rPr>
                <w:rFonts w:hint="eastAsia"/>
                <w:color w:val="auto"/>
                <w:highlight w:val="none"/>
                <w:lang w:val="zh-CN"/>
              </w:rPr>
              <w:t>中小企业采购，</w:t>
            </w:r>
            <w:r>
              <w:rPr>
                <w:rFonts w:hint="eastAsia"/>
                <w:color w:val="auto"/>
                <w:highlight w:val="none"/>
              </w:rPr>
              <w:t>供应商所提供货物的制造商应全部为中型、小型、微型企业。</w:t>
            </w:r>
          </w:p>
          <w:p w14:paraId="1E47DC52">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2.残疾人福利性单位、监狱和戒毒企业（简称监狱企业）视同小型、微型企业；残疾人福利单位、监狱企业同时属于小型、微型企业的，不重复享受财政政策。</w:t>
            </w:r>
          </w:p>
          <w:p w14:paraId="45DBE718">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3.根据《政府采购促进中小企业发展管理办法》（财库[2020]46号）和《财政部关于进一步加大政府采购支持中小企业力度的通知》要求，供应商应提供合格的《中小企业声明函》，如投标人提供的《中小企业声明函》不合格或未提供《中小企业声明函》的，专门面向中小企业采购的项目，将视为无效投标，非专门面向中小企业采购的项目，不享受相关中小微企业扶持政策。</w:t>
            </w:r>
          </w:p>
          <w:p w14:paraId="203D4B21">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4.根据《关于政府采购支持监狱企业发展有关问题的通知》（财库[2014]68号）和本招标文件要求，投标人应提供合格的《监狱企业声明函》，如投标人提供的《监狱企业声明函》不合格或未提供《监狱企业声明函》的，专门面向中小企业采购的项目，将视为无效投标，非专门面向中小企业采购的项目，不享受相关中小微企业扶持政策。</w:t>
            </w:r>
          </w:p>
          <w:p w14:paraId="6A77E86F">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专门面向中小企业采购的项目，将视为无效投标，非专门面向中小企业采购的项目，不享受相关中小微企业扶持政策。</w:t>
            </w:r>
          </w:p>
        </w:tc>
      </w:tr>
      <w:tr w14:paraId="6A0571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DFFB584">
            <w:pPr>
              <w:spacing w:line="300" w:lineRule="exact"/>
              <w:jc w:val="center"/>
              <w:rPr>
                <w:rFonts w:cs="Arial"/>
                <w:bCs/>
                <w:color w:val="auto"/>
                <w:highlight w:val="none"/>
              </w:rPr>
            </w:pPr>
            <w:r>
              <w:rPr>
                <w:rFonts w:hint="eastAsia" w:cs="Arial"/>
                <w:bCs/>
                <w:color w:val="auto"/>
                <w:highlight w:val="none"/>
              </w:rPr>
              <w:t>29</w:t>
            </w:r>
          </w:p>
        </w:tc>
        <w:tc>
          <w:tcPr>
            <w:tcW w:w="1695" w:type="dxa"/>
            <w:tcBorders>
              <w:top w:val="single" w:color="auto" w:sz="4" w:space="0"/>
              <w:left w:val="single" w:color="auto" w:sz="4" w:space="0"/>
              <w:bottom w:val="single" w:color="auto" w:sz="4" w:space="0"/>
              <w:right w:val="single" w:color="auto" w:sz="4" w:space="0"/>
            </w:tcBorders>
            <w:vAlign w:val="center"/>
          </w:tcPr>
          <w:p w14:paraId="25E344AC">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14:paraId="1ACE4B69">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14:paraId="772FB536">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1.有国家或行业标准的产品投标时应提供国家</w:t>
            </w:r>
            <w:r>
              <w:rPr>
                <w:rFonts w:hint="eastAsia"/>
                <w:color w:val="auto"/>
                <w:highlight w:val="none"/>
              </w:rPr>
              <w:t>国家级质量检验检测机构出具的检验检测报告（如有）。</w:t>
            </w:r>
          </w:p>
          <w:p w14:paraId="7C47D00D">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color w:val="auto"/>
                <w:highlight w:val="none"/>
              </w:rPr>
              <w:t>2.无国家或行业标准的产品投标时应提供国家认可的质量检验检测机构出具的检验检测报告（如有）；如投标时未提供，应在产品交付验收时提供国家认可的质量检验检测机构出具的检验检测报告。</w:t>
            </w:r>
          </w:p>
        </w:tc>
      </w:tr>
      <w:tr w14:paraId="59AD1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DD62E5D">
            <w:pPr>
              <w:spacing w:line="300" w:lineRule="exact"/>
              <w:jc w:val="center"/>
              <w:rPr>
                <w:rFonts w:cs="Arial"/>
                <w:bCs/>
                <w:color w:val="auto"/>
                <w:highlight w:val="none"/>
              </w:rPr>
            </w:pPr>
            <w:r>
              <w:rPr>
                <w:rFonts w:hint="eastAsia" w:cs="Arial"/>
                <w:bCs/>
                <w:color w:val="auto"/>
                <w:highlight w:val="none"/>
              </w:rPr>
              <w:t>30</w:t>
            </w:r>
          </w:p>
        </w:tc>
        <w:tc>
          <w:tcPr>
            <w:tcW w:w="1695" w:type="dxa"/>
            <w:tcBorders>
              <w:top w:val="single" w:color="auto" w:sz="4" w:space="0"/>
              <w:left w:val="single" w:color="auto" w:sz="4" w:space="0"/>
              <w:bottom w:val="single" w:color="auto" w:sz="4" w:space="0"/>
              <w:right w:val="single" w:color="auto" w:sz="4" w:space="0"/>
            </w:tcBorders>
            <w:vAlign w:val="center"/>
          </w:tcPr>
          <w:p w14:paraId="4CBD93A1">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样品</w:t>
            </w:r>
          </w:p>
        </w:tc>
        <w:tc>
          <w:tcPr>
            <w:tcW w:w="6639" w:type="dxa"/>
            <w:tcBorders>
              <w:top w:val="single" w:color="auto" w:sz="4" w:space="0"/>
              <w:left w:val="single" w:color="auto" w:sz="4" w:space="0"/>
              <w:bottom w:val="single" w:color="auto" w:sz="4" w:space="0"/>
              <w:right w:val="single" w:color="auto" w:sz="4" w:space="0"/>
            </w:tcBorders>
            <w:vAlign w:val="center"/>
          </w:tcPr>
          <w:p w14:paraId="1FD56C6B">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w:t>
            </w:r>
          </w:p>
        </w:tc>
      </w:tr>
      <w:tr w14:paraId="5D6A5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F9A33A5">
            <w:pPr>
              <w:spacing w:line="300" w:lineRule="exact"/>
              <w:jc w:val="center"/>
              <w:rPr>
                <w:rFonts w:cs="Arial"/>
                <w:bCs/>
                <w:color w:val="auto"/>
                <w:highlight w:val="none"/>
              </w:rPr>
            </w:pPr>
            <w:r>
              <w:rPr>
                <w:rFonts w:hint="eastAsia" w:cs="Arial"/>
                <w:bCs/>
                <w:color w:val="auto"/>
                <w:highlight w:val="none"/>
              </w:rPr>
              <w:t>31</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39BC2040">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本国产品标准及相关政策</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14:paraId="012E12E4">
            <w:pPr>
              <w:widowControl/>
              <w:wordWrap w:val="0"/>
              <w:spacing w:line="24" w:lineRule="atLeast"/>
              <w:jc w:val="left"/>
              <w:rPr>
                <w:rFonts w:ascii="Helvetica" w:hAnsi="Helvetica" w:eastAsia="Helvetica" w:cs="Helvetica"/>
                <w:b/>
                <w:bCs/>
                <w:color w:val="auto"/>
                <w:kern w:val="0"/>
                <w:highlight w:val="none"/>
                <w:lang w:bidi="ar"/>
              </w:rPr>
            </w:pPr>
            <w:r>
              <w:rPr>
                <w:rFonts w:hint="eastAsia" w:ascii="Helvetica" w:hAnsi="Helvetica" w:eastAsia="Helvetica" w:cs="Helvetica"/>
                <w:b/>
                <w:bCs/>
                <w:color w:val="auto"/>
                <w:kern w:val="0"/>
                <w:highlight w:val="none"/>
                <w:lang w:bidi="ar"/>
              </w:rPr>
              <w:t>政策：</w:t>
            </w:r>
          </w:p>
          <w:p w14:paraId="5F976DEC">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政府采购活动中既有本国产品又有非本国产品参与竞争的，依法对本国产品给予价格评审优惠，对本国产品的报价给予</w:t>
            </w:r>
            <w:r>
              <w:rPr>
                <w:rFonts w:ascii="Helvetica" w:hAnsi="Helvetica" w:eastAsia="Helvetica" w:cs="Helvetica"/>
                <w:color w:val="auto"/>
                <w:kern w:val="0"/>
                <w:sz w:val="24"/>
                <w:szCs w:val="24"/>
                <w:highlight w:val="none"/>
                <w:lang w:bidi="ar"/>
              </w:rPr>
              <w:t>20%</w:t>
            </w:r>
            <w:r>
              <w:rPr>
                <w:rFonts w:ascii="Helvetica" w:hAnsi="Helvetica" w:eastAsia="Helvetica" w:cs="Helvetica"/>
                <w:color w:val="auto"/>
                <w:kern w:val="0"/>
                <w:highlight w:val="none"/>
                <w:lang w:bidi="ar"/>
              </w:rPr>
              <w:t>的价格扣除，用扣除后的价格参与评审。</w:t>
            </w:r>
          </w:p>
          <w:p w14:paraId="4F60E04F">
            <w:pPr>
              <w:widowControl/>
              <w:wordWrap w:val="0"/>
              <w:spacing w:line="24" w:lineRule="atLeast"/>
              <w:jc w:val="left"/>
              <w:rPr>
                <w:rFonts w:ascii="Helvetica" w:hAnsi="Helvetica" w:eastAsia="Helvetica" w:cs="Helvetica"/>
                <w:color w:val="auto"/>
                <w:kern w:val="0"/>
                <w:highlight w:val="none"/>
                <w:lang w:bidi="ar"/>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当采购项目或者采购包中含有多种产品，供应商为该采购项目或者采购包提供的符合本国产品标准的产品成本之和占该供应商提供的全部产品成本之和的比例达到</w:t>
            </w:r>
            <w:r>
              <w:rPr>
                <w:rFonts w:ascii="Helvetica" w:hAnsi="Helvetica" w:eastAsia="Helvetica" w:cs="Helvetica"/>
                <w:color w:val="auto"/>
                <w:kern w:val="0"/>
                <w:sz w:val="24"/>
                <w:szCs w:val="24"/>
                <w:highlight w:val="none"/>
                <w:lang w:bidi="ar"/>
              </w:rPr>
              <w:t>80%</w:t>
            </w:r>
            <w:r>
              <w:rPr>
                <w:rFonts w:ascii="Helvetica" w:hAnsi="Helvetica" w:eastAsia="Helvetica" w:cs="Helvetica"/>
                <w:color w:val="auto"/>
                <w:kern w:val="0"/>
                <w:highlight w:val="none"/>
                <w:lang w:bidi="ar"/>
              </w:rPr>
              <w:t>以上时，依法对该供应商提供的全部产品给予价格评审优惠，即对该供应商提供的全部产品的总报价给予20%的价格扣除，用扣除后的价格参与评审。</w:t>
            </w:r>
          </w:p>
          <w:p w14:paraId="528A1961">
            <w:pPr>
              <w:widowControl/>
              <w:wordWrap w:val="0"/>
              <w:spacing w:line="24" w:lineRule="atLeast"/>
              <w:jc w:val="left"/>
              <w:rPr>
                <w:rFonts w:ascii="Helvetica" w:hAnsi="Helvetica" w:eastAsia="Helvetica" w:cs="Helvetica"/>
                <w:b/>
                <w:bCs/>
                <w:color w:val="auto"/>
                <w:kern w:val="0"/>
                <w:highlight w:val="none"/>
                <w:lang w:bidi="ar"/>
              </w:rPr>
            </w:pPr>
            <w:r>
              <w:rPr>
                <w:rFonts w:hint="eastAsia" w:ascii="Helvetica" w:hAnsi="Helvetica" w:eastAsia="Helvetica" w:cs="Helvetica"/>
                <w:b/>
                <w:bCs/>
                <w:color w:val="auto"/>
                <w:kern w:val="0"/>
                <w:highlight w:val="none"/>
                <w:lang w:bidi="ar"/>
              </w:rPr>
              <w:t>标准：</w:t>
            </w:r>
          </w:p>
          <w:p w14:paraId="16FC808C">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本国产品应当符合以下条件：</w:t>
            </w:r>
          </w:p>
          <w:p w14:paraId="6FDC3A52">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（一）在中国境内生产</w:t>
            </w:r>
          </w:p>
          <w:p w14:paraId="6EB65638">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产品应当在中国境内生产，即在中华人民共和国关境内实现从原材料、组件到产品的属性改变。</w:t>
            </w:r>
          </w:p>
          <w:p w14:paraId="64169B0D">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t>属性改变是指经过制造、加工或者组装等工序，产生完全不同于原材料、组件的新产品，并具有新的名称和特征（用途）。属性改变不包括以下细微操作：</w:t>
            </w:r>
          </w:p>
          <w:p w14:paraId="5247338A">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1.</w:t>
            </w:r>
            <w:r>
              <w:rPr>
                <w:rFonts w:ascii="Helvetica" w:hAnsi="Helvetica" w:eastAsia="Helvetica" w:cs="Helvetica"/>
                <w:color w:val="auto"/>
                <w:kern w:val="0"/>
                <w:highlight w:val="none"/>
                <w:lang w:bidi="ar"/>
              </w:rPr>
              <w:t>为确保产品在运输或者储存期间保持某种状态而进行的操作；</w:t>
            </w:r>
          </w:p>
          <w:p w14:paraId="10910B9A">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2.</w:t>
            </w:r>
            <w:r>
              <w:rPr>
                <w:rFonts w:ascii="Helvetica" w:hAnsi="Helvetica" w:eastAsia="Helvetica" w:cs="Helvetica"/>
                <w:color w:val="auto"/>
                <w:kern w:val="0"/>
                <w:highlight w:val="none"/>
                <w:lang w:bidi="ar"/>
              </w:rPr>
              <w:t>为产品运输或者销售进行的包装或者展示；</w:t>
            </w:r>
          </w:p>
          <w:p w14:paraId="2776DDF3">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3.</w:t>
            </w:r>
            <w:r>
              <w:rPr>
                <w:rFonts w:ascii="Helvetica" w:hAnsi="Helvetica" w:eastAsia="Helvetica" w:cs="Helvetica"/>
                <w:color w:val="auto"/>
                <w:kern w:val="0"/>
                <w:highlight w:val="none"/>
                <w:lang w:bidi="ar"/>
              </w:rPr>
              <w:t>在产品或者其包装上粘贴或者印刷品牌、标志、标识以及其他用于区别的标记；</w:t>
            </w:r>
          </w:p>
          <w:p w14:paraId="162D864D">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4.</w:t>
            </w:r>
            <w:r>
              <w:rPr>
                <w:rFonts w:ascii="Helvetica" w:hAnsi="Helvetica" w:eastAsia="Helvetica" w:cs="Helvetica"/>
                <w:color w:val="auto"/>
                <w:kern w:val="0"/>
                <w:highlight w:val="none"/>
                <w:lang w:bidi="ar"/>
              </w:rPr>
              <w:t>简单的上漆、磨光和分装；</w:t>
            </w:r>
          </w:p>
          <w:p w14:paraId="6B85F556">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5.</w:t>
            </w:r>
            <w:r>
              <w:rPr>
                <w:rFonts w:ascii="Helvetica" w:hAnsi="Helvetica" w:eastAsia="Helvetica" w:cs="Helvetica"/>
                <w:color w:val="auto"/>
                <w:kern w:val="0"/>
                <w:highlight w:val="none"/>
                <w:lang w:bidi="ar"/>
              </w:rPr>
              <w:t>其他不属于属性改变的情形。</w:t>
            </w:r>
          </w:p>
          <w:p w14:paraId="0D21DB62">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（二）在中国境内生产的组件成本占比达到规定比例</w:t>
            </w:r>
          </w:p>
          <w:p w14:paraId="66E9EAE2">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产品在中国境内生产的组件成本占比应当达到规定比例，计算公式为：</w:t>
            </w:r>
          </w:p>
          <w:p w14:paraId="36E4C75B">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highlight w:val="none"/>
                <w:lang w:bidi="ar"/>
              </w:rPr>
              <w:drawing>
                <wp:inline distT="0" distB="0" distL="114300" distR="114300">
                  <wp:extent cx="4076065" cy="643255"/>
                  <wp:effectExtent l="0" t="0" r="635" b="444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9"/>
                          <a:stretch>
                            <a:fillRect/>
                          </a:stretch>
                        </pic:blipFill>
                        <pic:spPr>
                          <a:xfrm>
                            <a:off x="0" y="0"/>
                            <a:ext cx="4076065" cy="643255"/>
                          </a:xfrm>
                          <a:prstGeom prst="rect">
                            <a:avLst/>
                          </a:prstGeom>
                          <a:noFill/>
                          <a:ln w="9525">
                            <a:noFill/>
                          </a:ln>
                        </pic:spPr>
                      </pic:pic>
                    </a:graphicData>
                  </a:graphic>
                </wp:inline>
              </w:drawing>
            </w:r>
          </w:p>
          <w:p w14:paraId="01C0AD14">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7BC8286">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（三）特定产品的关键组件、关键工序符合相关要求</w:t>
            </w:r>
          </w:p>
          <w:p w14:paraId="75E8399A">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对特定产品，在符合本通知第一条第（一）项和第（二）项条件的基础上，应当符合财政部会同有关行业主管部门确定的其关键组件、关键工序在中国境内生产、完成等要求。</w:t>
            </w:r>
          </w:p>
          <w:p w14:paraId="68F6C181">
            <w:pPr>
              <w:widowControl/>
              <w:wordWrap w:val="0"/>
              <w:spacing w:line="24" w:lineRule="atLeast"/>
              <w:jc w:val="left"/>
              <w:rPr>
                <w:rFonts w:ascii="Helvetica" w:hAnsi="Helvetica" w:eastAsia="Helvetica" w:cs="Helvetica"/>
                <w:color w:val="auto"/>
                <w:kern w:val="0"/>
                <w:highlight w:val="none"/>
                <w:lang w:bidi="ar"/>
              </w:rPr>
            </w:pPr>
            <w:r>
              <w:rPr>
                <w:rFonts w:ascii="Helvetica" w:hAnsi="Helvetica" w:eastAsia="Helvetica" w:cs="Helvetica"/>
                <w:color w:val="auto"/>
                <w:kern w:val="0"/>
                <w:sz w:val="24"/>
                <w:szCs w:val="24"/>
                <w:highlight w:val="none"/>
                <w:lang w:bidi="ar"/>
              </w:rPr>
              <w:t>  </w:t>
            </w:r>
            <w:r>
              <w:rPr>
                <w:rFonts w:ascii="Helvetica" w:hAnsi="Helvetica" w:eastAsia="Helvetica" w:cs="Helvetica"/>
                <w:color w:val="auto"/>
                <w:kern w:val="0"/>
                <w:highlight w:val="none"/>
                <w:lang w:bidi="ar"/>
              </w:rPr>
              <w:t>财政部会同有关行业主管部门自本通知施行之日起</w:t>
            </w:r>
            <w:r>
              <w:rPr>
                <w:rFonts w:ascii="Helvetica" w:hAnsi="Helvetica" w:eastAsia="Helvetica" w:cs="Helvetica"/>
                <w:color w:val="auto"/>
                <w:kern w:val="0"/>
                <w:sz w:val="24"/>
                <w:szCs w:val="24"/>
                <w:highlight w:val="none"/>
                <w:lang w:bidi="ar"/>
              </w:rPr>
              <w:t>5</w:t>
            </w:r>
            <w:r>
              <w:rPr>
                <w:rFonts w:ascii="Helvetica" w:hAnsi="Helvetica" w:eastAsia="Helvetica" w:cs="Helvetica"/>
                <w:color w:val="auto"/>
                <w:kern w:val="0"/>
                <w:highlight w:val="none"/>
                <w:lang w:bidi="ar"/>
              </w:rPr>
              <w:t>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tc>
      </w:tr>
      <w:tr w14:paraId="514244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36838BB">
            <w:pPr>
              <w:spacing w:line="300" w:lineRule="exact"/>
              <w:jc w:val="center"/>
              <w:rPr>
                <w:rFonts w:cs="Arial"/>
                <w:bCs/>
                <w:color w:val="auto"/>
                <w:highlight w:val="none"/>
              </w:rPr>
            </w:pPr>
            <w:r>
              <w:rPr>
                <w:rFonts w:hint="eastAsia" w:cs="Arial"/>
                <w:bCs/>
                <w:color w:val="auto"/>
                <w:highlight w:val="none"/>
              </w:rPr>
              <w:t>32</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60554E8D">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14:paraId="43B35149">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14:paraId="5A1741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14:paraId="763B401B">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14:paraId="493972F1">
      <w:pPr>
        <w:rPr>
          <w:color w:val="auto"/>
          <w:highlight w:val="none"/>
        </w:rPr>
      </w:pPr>
      <w:r>
        <w:rPr>
          <w:rFonts w:hint="eastAsia"/>
          <w:color w:val="auto"/>
          <w:highlight w:val="none"/>
        </w:rPr>
        <w:br w:type="page"/>
      </w:r>
    </w:p>
    <w:bookmarkEnd w:id="0"/>
    <w:bookmarkEnd w:id="1"/>
    <w:bookmarkEnd w:id="2"/>
    <w:bookmarkEnd w:id="3"/>
    <w:bookmarkEnd w:id="4"/>
    <w:bookmarkEnd w:id="5"/>
    <w:bookmarkEnd w:id="6"/>
    <w:bookmarkEnd w:id="10"/>
    <w:bookmarkEnd w:id="11"/>
    <w:bookmarkEnd w:id="12"/>
    <w:p w14:paraId="3BFB6968">
      <w:pPr>
        <w:spacing w:line="360" w:lineRule="auto"/>
        <w:jc w:val="center"/>
        <w:outlineLvl w:val="0"/>
        <w:rPr>
          <w:rFonts w:asciiTheme="minorEastAsia" w:hAnsiTheme="minorEastAsia" w:eastAsiaTheme="minorEastAsia" w:cstheme="minorEastAsia"/>
          <w:b/>
          <w:color w:val="auto"/>
          <w:sz w:val="28"/>
          <w:szCs w:val="28"/>
          <w:highlight w:val="none"/>
        </w:rPr>
      </w:pPr>
      <w:bookmarkStart w:id="14" w:name="_Toc6760"/>
      <w:bookmarkStart w:id="15" w:name="_Toc120614211"/>
      <w:bookmarkStart w:id="16" w:name="_Toc534725597"/>
      <w:bookmarkStart w:id="17" w:name="_Toc513029242"/>
      <w:bookmarkStart w:id="18" w:name="_Toc494375079"/>
      <w:bookmarkStart w:id="19" w:name="_Toc479757207"/>
      <w:bookmarkStart w:id="20" w:name="_Toc20823314"/>
      <w:bookmarkStart w:id="21" w:name="_Toc120614221"/>
      <w:bookmarkStart w:id="22" w:name="_Toc16938558"/>
      <w:r>
        <w:rPr>
          <w:rFonts w:hint="eastAsia" w:asciiTheme="minorEastAsia" w:hAnsiTheme="minorEastAsia" w:eastAsiaTheme="minorEastAsia" w:cstheme="minorEastAsia"/>
          <w:b/>
          <w:color w:val="auto"/>
          <w:sz w:val="28"/>
          <w:szCs w:val="28"/>
          <w:highlight w:val="none"/>
        </w:rPr>
        <w:t>第一章  采购公告</w:t>
      </w:r>
      <w:bookmarkEnd w:id="14"/>
    </w:p>
    <w:p w14:paraId="37079D2A">
      <w:pPr>
        <w:pStyle w:val="38"/>
        <w:ind w:firstLine="0" w:firstLineChars="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中国石油大学（北京）纳米粒度及电位分析仪采购项目</w:t>
      </w:r>
    </w:p>
    <w:p w14:paraId="3A251AB1">
      <w:pPr>
        <w:pStyle w:val="38"/>
        <w:ind w:firstLine="0" w:firstLineChars="0"/>
        <w:jc w:val="center"/>
        <w:rPr>
          <w:rFonts w:asciiTheme="minorEastAsia" w:hAnsiTheme="minorEastAsia" w:eastAsiaTheme="minorEastAsia" w:cstheme="minorEastAsia"/>
          <w:b/>
          <w:bCs/>
          <w:color w:val="auto"/>
          <w:sz w:val="28"/>
          <w:szCs w:val="28"/>
          <w:highlight w:val="none"/>
        </w:rPr>
      </w:pPr>
    </w:p>
    <w:tbl>
      <w:tblPr>
        <w:tblStyle w:val="39"/>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9"/>
      </w:tblGrid>
      <w:tr w14:paraId="40781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8719" w:type="dxa"/>
          </w:tcPr>
          <w:p w14:paraId="3C7DC840">
            <w:pPr>
              <w:pStyle w:val="35"/>
              <w:spacing w:line="360" w:lineRule="auto"/>
              <w:rPr>
                <w:rFonts w:asciiTheme="minorEastAsia" w:hAnsiTheme="minorEastAsia" w:eastAsiaTheme="minorEastAsia" w:cstheme="minorEastAsia"/>
                <w:color w:val="auto"/>
                <w:highlight w:val="none"/>
              </w:rPr>
            </w:pPr>
            <w:bookmarkStart w:id="23" w:name="_Toc35393798"/>
            <w:bookmarkStart w:id="24" w:name="_Toc35393629"/>
            <w:bookmarkStart w:id="25" w:name="_Toc28359089"/>
            <w:bookmarkStart w:id="26" w:name="_Toc28359012"/>
            <w:r>
              <w:rPr>
                <w:rFonts w:hint="eastAsia" w:asciiTheme="minorEastAsia" w:hAnsiTheme="minorEastAsia" w:eastAsiaTheme="minorEastAsia" w:cstheme="minorEastAsia"/>
                <w:color w:val="auto"/>
                <w:highlight w:val="none"/>
              </w:rPr>
              <w:t>项目概况：</w:t>
            </w:r>
            <w:r>
              <w:rPr>
                <w:rFonts w:hint="eastAsia" w:asciiTheme="minorEastAsia" w:hAnsiTheme="minorEastAsia" w:eastAsiaTheme="minorEastAsia" w:cstheme="minorEastAsia"/>
                <w:color w:val="auto"/>
                <w:highlight w:val="none"/>
                <w:u w:val="single"/>
              </w:rPr>
              <w:t>中国石油大学（北京）纳米粒度及电位分析仪采购项目</w:t>
            </w:r>
            <w:r>
              <w:rPr>
                <w:rFonts w:hint="eastAsia" w:asciiTheme="minorEastAsia" w:hAnsiTheme="minorEastAsia" w:eastAsiaTheme="minorEastAsia" w:cstheme="minorEastAsia"/>
                <w:color w:val="auto"/>
                <w:highlight w:val="none"/>
              </w:rPr>
              <w:t>的潜在供应商应在</w:t>
            </w:r>
            <w:r>
              <w:rPr>
                <w:rFonts w:hint="eastAsia" w:asciiTheme="minorEastAsia" w:hAnsiTheme="minorEastAsia" w:eastAsiaTheme="minorEastAsia" w:cstheme="minorEastAsia"/>
                <w:color w:val="auto"/>
                <w:highlight w:val="none"/>
                <w:u w:val="single"/>
                <w:lang w:val="en-US" w:eastAsia="zh-CN"/>
              </w:rPr>
              <w:t>中国政府采购网</w:t>
            </w:r>
            <w:r>
              <w:rPr>
                <w:rFonts w:hint="eastAsia" w:asciiTheme="minorEastAsia" w:hAnsiTheme="minorEastAsia" w:eastAsiaTheme="minorEastAsia" w:cstheme="minorEastAsia"/>
                <w:color w:val="auto"/>
                <w:highlight w:val="none"/>
              </w:rPr>
              <w:t>获取招标文件，并于</w:t>
            </w:r>
            <w:r>
              <w:rPr>
                <w:rFonts w:hint="eastAsia" w:asciiTheme="minorEastAsia" w:hAnsiTheme="minorEastAsia" w:eastAsiaTheme="minorEastAsia" w:cstheme="minorEastAsia"/>
                <w:color w:val="auto"/>
                <w:highlight w:val="none"/>
                <w:u w:val="single"/>
              </w:rPr>
              <w:t>2026年</w:t>
            </w:r>
            <w:r>
              <w:rPr>
                <w:rFonts w:hint="eastAsia" w:asciiTheme="minorEastAsia" w:hAnsiTheme="minorEastAsia" w:eastAsiaTheme="minorEastAsia" w:cstheme="minorEastAsia"/>
                <w:color w:val="auto"/>
                <w:highlight w:val="none"/>
                <w:u w:val="single"/>
                <w:lang w:val="en-US" w:eastAsia="zh-CN"/>
              </w:rPr>
              <w:t>10</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eastAsiaTheme="minorEastAsia" w:cstheme="minorEastAsia"/>
                <w:color w:val="auto"/>
                <w:highlight w:val="none"/>
                <w:u w:val="single"/>
                <w:lang w:val="en-US" w:eastAsia="zh-CN"/>
              </w:rPr>
              <w:t>21</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eastAsiaTheme="minorEastAsia" w:cstheme="minorEastAsia"/>
                <w:color w:val="auto"/>
                <w:highlight w:val="none"/>
                <w:u w:val="single"/>
                <w:lang w:val="en-US" w:eastAsia="zh-CN"/>
              </w:rPr>
              <w:t>10</w:t>
            </w:r>
            <w:r>
              <w:rPr>
                <w:rFonts w:hint="eastAsia" w:asciiTheme="minorEastAsia" w:hAnsiTheme="minorEastAsia" w:eastAsiaTheme="minorEastAsia" w:cstheme="minorEastAsia"/>
                <w:color w:val="auto"/>
                <w:highlight w:val="none"/>
                <w:u w:val="single"/>
              </w:rPr>
              <w:t>点</w:t>
            </w:r>
            <w:r>
              <w:rPr>
                <w:rFonts w:hint="eastAsia" w:asciiTheme="minorEastAsia" w:hAnsiTheme="minorEastAsia" w:eastAsiaTheme="minorEastAsia" w:cstheme="minorEastAsia"/>
                <w:color w:val="auto"/>
                <w:highlight w:val="none"/>
                <w:u w:val="single"/>
                <w:lang w:val="en-US" w:eastAsia="zh-CN"/>
              </w:rPr>
              <w:t>30</w:t>
            </w:r>
            <w:r>
              <w:rPr>
                <w:rFonts w:hint="eastAsia" w:asciiTheme="minorEastAsia" w:hAnsiTheme="minorEastAsia" w:eastAsiaTheme="minorEastAsia" w:cstheme="minorEastAsia"/>
                <w:color w:val="auto"/>
                <w:highlight w:val="none"/>
                <w:u w:val="single"/>
              </w:rPr>
              <w:t>分</w:t>
            </w:r>
            <w:r>
              <w:rPr>
                <w:rFonts w:hint="eastAsia" w:asciiTheme="minorEastAsia" w:hAnsiTheme="minorEastAsia" w:eastAsiaTheme="minorEastAsia" w:cstheme="minorEastAsia"/>
                <w:color w:val="auto"/>
                <w:highlight w:val="none"/>
              </w:rPr>
              <w:t>（北京时间）前递交投标文件。</w:t>
            </w:r>
          </w:p>
        </w:tc>
      </w:tr>
    </w:tbl>
    <w:p w14:paraId="59508592">
      <w:pPr>
        <w:pStyle w:val="4"/>
        <w:spacing w:before="0" w:after="0" w:line="360" w:lineRule="auto"/>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一、项目基本情况</w:t>
      </w:r>
      <w:bookmarkEnd w:id="23"/>
      <w:bookmarkEnd w:id="24"/>
      <w:bookmarkEnd w:id="25"/>
      <w:bookmarkEnd w:id="26"/>
    </w:p>
    <w:p w14:paraId="01211B8B">
      <w:pPr>
        <w:pStyle w:val="56"/>
        <w:rPr>
          <w:rFonts w:hAnsi="宋体" w:cs="宋体"/>
          <w:color w:val="auto"/>
          <w:szCs w:val="24"/>
          <w:highlight w:val="none"/>
        </w:rPr>
      </w:pPr>
      <w:r>
        <w:rPr>
          <w:rFonts w:hAnsi="宋体" w:cs="宋体"/>
          <w:color w:val="auto"/>
          <w:szCs w:val="24"/>
          <w:highlight w:val="none"/>
        </w:rPr>
        <w:t>项目编号：</w:t>
      </w:r>
      <w:r>
        <w:rPr>
          <w:rFonts w:hint="eastAsia" w:hAnsi="宋体" w:cs="宋体"/>
          <w:color w:val="auto"/>
          <w:szCs w:val="24"/>
          <w:highlight w:val="none"/>
        </w:rPr>
        <w:t>HYGS-ZC-2026-103</w:t>
      </w:r>
    </w:p>
    <w:p w14:paraId="6E2A4D61">
      <w:pPr>
        <w:pStyle w:val="56"/>
        <w:rPr>
          <w:rFonts w:hAnsi="宋体" w:cs="宋体"/>
          <w:color w:val="auto"/>
          <w:szCs w:val="24"/>
          <w:highlight w:val="none"/>
        </w:rPr>
      </w:pPr>
      <w:r>
        <w:rPr>
          <w:rFonts w:hAnsi="宋体" w:cs="宋体"/>
          <w:color w:val="auto"/>
          <w:szCs w:val="24"/>
          <w:highlight w:val="none"/>
        </w:rPr>
        <w:t>项目名称：</w:t>
      </w:r>
      <w:r>
        <w:rPr>
          <w:rFonts w:hint="eastAsia" w:hAnsi="宋体" w:cs="宋体"/>
          <w:color w:val="auto"/>
          <w:szCs w:val="24"/>
          <w:highlight w:val="none"/>
        </w:rPr>
        <w:t>中国石油大学</w:t>
      </w:r>
      <w:bookmarkStart w:id="160" w:name="_GoBack"/>
      <w:bookmarkEnd w:id="160"/>
      <w:r>
        <w:rPr>
          <w:rFonts w:hint="eastAsia" w:hAnsi="宋体" w:cs="宋体"/>
          <w:color w:val="auto"/>
          <w:szCs w:val="24"/>
          <w:highlight w:val="none"/>
        </w:rPr>
        <w:t>（北京）纳米粒度及电位分析仪采购项目</w:t>
      </w:r>
    </w:p>
    <w:p w14:paraId="67E770AF">
      <w:pPr>
        <w:pStyle w:val="56"/>
        <w:rPr>
          <w:rFonts w:hAnsi="宋体" w:cs="宋体"/>
          <w:color w:val="auto"/>
          <w:szCs w:val="24"/>
          <w:highlight w:val="none"/>
        </w:rPr>
      </w:pPr>
      <w:r>
        <w:rPr>
          <w:rFonts w:hAnsi="宋体" w:cs="宋体"/>
          <w:color w:val="auto"/>
          <w:szCs w:val="24"/>
          <w:highlight w:val="none"/>
        </w:rPr>
        <w:t>预算金额：</w:t>
      </w:r>
      <w:r>
        <w:rPr>
          <w:rFonts w:hint="eastAsia" w:hAnsi="宋体" w:cs="宋体"/>
          <w:color w:val="auto"/>
          <w:szCs w:val="24"/>
          <w:highlight w:val="none"/>
        </w:rPr>
        <w:t>28.2</w:t>
      </w:r>
      <w:r>
        <w:rPr>
          <w:rFonts w:hint="eastAsia" w:hAnsi="宋体" w:cs="Arial"/>
          <w:bCs/>
          <w:color w:val="auto"/>
          <w:szCs w:val="24"/>
          <w:highlight w:val="none"/>
        </w:rPr>
        <w:t>万元（</w:t>
      </w:r>
      <w:r>
        <w:rPr>
          <w:rFonts w:hAnsi="宋体" w:cs="宋体"/>
          <w:color w:val="auto"/>
          <w:szCs w:val="24"/>
          <w:highlight w:val="none"/>
        </w:rPr>
        <w:t>人民币）</w:t>
      </w:r>
    </w:p>
    <w:p w14:paraId="34DAC4EA">
      <w:pPr>
        <w:rPr>
          <w:color w:val="auto"/>
          <w:highlight w:val="none"/>
        </w:rPr>
      </w:pPr>
      <w:r>
        <w:rPr>
          <w:rFonts w:ascii="宋体" w:hAnsi="宋体" w:cs="宋体"/>
          <w:color w:val="auto"/>
          <w:sz w:val="24"/>
          <w:szCs w:val="24"/>
          <w:highlight w:val="none"/>
        </w:rPr>
        <w:t>最高限价（如有）：</w:t>
      </w:r>
      <w:r>
        <w:rPr>
          <w:rFonts w:hint="eastAsia" w:hAnsi="宋体" w:cs="宋体"/>
          <w:color w:val="auto"/>
          <w:sz w:val="24"/>
          <w:szCs w:val="24"/>
          <w:highlight w:val="none"/>
        </w:rPr>
        <w:t>28.2</w:t>
      </w:r>
      <w:r>
        <w:rPr>
          <w:rFonts w:hint="eastAsia" w:ascii="宋体" w:hAnsi="宋体" w:cs="Arial"/>
          <w:bCs/>
          <w:color w:val="auto"/>
          <w:kern w:val="0"/>
          <w:sz w:val="24"/>
          <w:szCs w:val="24"/>
          <w:highlight w:val="none"/>
        </w:rPr>
        <w:t>万元</w:t>
      </w:r>
      <w:r>
        <w:rPr>
          <w:rFonts w:ascii="宋体" w:hAnsi="宋体" w:cs="宋体"/>
          <w:color w:val="auto"/>
          <w:sz w:val="24"/>
          <w:szCs w:val="24"/>
          <w:highlight w:val="none"/>
        </w:rPr>
        <w:t>（人民币）</w:t>
      </w:r>
    </w:p>
    <w:p w14:paraId="47C10898">
      <w:pPr>
        <w:pStyle w:val="56"/>
        <w:rPr>
          <w:rFonts w:hAnsi="宋体" w:cs="宋体"/>
          <w:b/>
          <w:bCs/>
          <w:color w:val="auto"/>
          <w:szCs w:val="24"/>
          <w:highlight w:val="none"/>
        </w:rPr>
      </w:pPr>
      <w:r>
        <w:rPr>
          <w:rFonts w:hint="eastAsia" w:hAnsi="宋体" w:cs="宋体"/>
          <w:b/>
          <w:bCs/>
          <w:color w:val="auto"/>
          <w:szCs w:val="24"/>
          <w:highlight w:val="none"/>
        </w:rPr>
        <w:t>采购需求：</w:t>
      </w:r>
    </w:p>
    <w:tbl>
      <w:tblPr>
        <w:tblStyle w:val="40"/>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6"/>
        <w:gridCol w:w="2999"/>
        <w:gridCol w:w="1283"/>
        <w:gridCol w:w="1600"/>
        <w:gridCol w:w="1730"/>
      </w:tblGrid>
      <w:tr w14:paraId="3E696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vAlign w:val="center"/>
          </w:tcPr>
          <w:p w14:paraId="537382EA">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包号</w:t>
            </w:r>
          </w:p>
        </w:tc>
        <w:tc>
          <w:tcPr>
            <w:tcW w:w="2999" w:type="dxa"/>
            <w:vAlign w:val="center"/>
          </w:tcPr>
          <w:p w14:paraId="117220BB">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采购品目名称</w:t>
            </w:r>
          </w:p>
        </w:tc>
        <w:tc>
          <w:tcPr>
            <w:tcW w:w="1283" w:type="dxa"/>
            <w:vAlign w:val="center"/>
          </w:tcPr>
          <w:p w14:paraId="625E519D">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单位</w:t>
            </w:r>
          </w:p>
        </w:tc>
        <w:tc>
          <w:tcPr>
            <w:tcW w:w="1600" w:type="dxa"/>
            <w:vAlign w:val="center"/>
          </w:tcPr>
          <w:p w14:paraId="576DF044">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采购数量</w:t>
            </w:r>
          </w:p>
        </w:tc>
        <w:tc>
          <w:tcPr>
            <w:tcW w:w="1730" w:type="dxa"/>
            <w:vAlign w:val="center"/>
          </w:tcPr>
          <w:p w14:paraId="2FA740B0">
            <w:pPr>
              <w:widowControl/>
              <w:jc w:val="center"/>
              <w:textAlignment w:val="center"/>
              <w:rPr>
                <w:rFonts w:asciiTheme="minorEastAsia" w:hAnsiTheme="minorEastAsia" w:eastAsiaTheme="minorEastAsia" w:cstheme="minorEastAsia"/>
                <w:color w:val="auto"/>
                <w:sz w:val="24"/>
                <w:highlight w:val="none"/>
              </w:rPr>
            </w:pPr>
            <w:r>
              <w:rPr>
                <w:rFonts w:hint="eastAsia" w:ascii="宋体" w:hAnsi="宋体" w:cs="宋体"/>
                <w:color w:val="auto"/>
                <w:kern w:val="0"/>
                <w:sz w:val="24"/>
                <w:szCs w:val="24"/>
                <w:highlight w:val="none"/>
              </w:rPr>
              <w:t>最高单价限价（万元/</w:t>
            </w:r>
            <w:r>
              <w:rPr>
                <w:rFonts w:hint="eastAsia" w:ascii="宋体" w:hAnsi="宋体" w:cs="宋体"/>
                <w:color w:val="auto"/>
                <w:kern w:val="0"/>
                <w:sz w:val="24"/>
                <w:szCs w:val="24"/>
                <w:highlight w:val="none"/>
                <w:lang w:val="en-US" w:eastAsia="zh-CN"/>
              </w:rPr>
              <w:t>台</w:t>
            </w:r>
            <w:r>
              <w:rPr>
                <w:rFonts w:hint="eastAsia" w:ascii="宋体" w:hAnsi="宋体" w:cs="宋体"/>
                <w:color w:val="auto"/>
                <w:kern w:val="0"/>
                <w:sz w:val="24"/>
                <w:szCs w:val="24"/>
                <w:highlight w:val="none"/>
              </w:rPr>
              <w:t>）</w:t>
            </w:r>
          </w:p>
        </w:tc>
      </w:tr>
      <w:tr w14:paraId="77D6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1046" w:type="dxa"/>
            <w:vAlign w:val="center"/>
          </w:tcPr>
          <w:p w14:paraId="6D9D0E0B">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bidi="ar"/>
              </w:rPr>
              <w:t>1</w:t>
            </w:r>
          </w:p>
        </w:tc>
        <w:tc>
          <w:tcPr>
            <w:tcW w:w="2999" w:type="dxa"/>
            <w:vAlign w:val="center"/>
          </w:tcPr>
          <w:p w14:paraId="3D30A8F1">
            <w:pPr>
              <w:widowControl/>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纳米粒度及电位分析仪</w:t>
            </w:r>
          </w:p>
        </w:tc>
        <w:tc>
          <w:tcPr>
            <w:tcW w:w="1283" w:type="dxa"/>
            <w:vAlign w:val="center"/>
          </w:tcPr>
          <w:p w14:paraId="0ECE0397">
            <w:pPr>
              <w:widowControl/>
              <w:jc w:val="center"/>
              <w:textAlignment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台</w:t>
            </w:r>
          </w:p>
        </w:tc>
        <w:tc>
          <w:tcPr>
            <w:tcW w:w="1600" w:type="dxa"/>
            <w:vAlign w:val="center"/>
          </w:tcPr>
          <w:p w14:paraId="106C69C3">
            <w:pPr>
              <w:widowControl/>
              <w:jc w:val="center"/>
              <w:textAlignment w:val="center"/>
              <w:rPr>
                <w:rFonts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1</w:t>
            </w:r>
          </w:p>
        </w:tc>
        <w:tc>
          <w:tcPr>
            <w:tcW w:w="1730" w:type="dxa"/>
            <w:vAlign w:val="center"/>
          </w:tcPr>
          <w:p w14:paraId="2A221045">
            <w:pPr>
              <w:widowControl/>
              <w:jc w:val="center"/>
              <w:textAlignment w:val="center"/>
              <w:rPr>
                <w:rFonts w:asciiTheme="minorEastAsia" w:hAnsiTheme="minorEastAsia" w:eastAsiaTheme="minorEastAsia" w:cstheme="minorEastAsia"/>
                <w:color w:val="auto"/>
                <w:kern w:val="0"/>
                <w:sz w:val="24"/>
                <w:szCs w:val="24"/>
                <w:highlight w:val="none"/>
                <w:lang w:bidi="ar"/>
              </w:rPr>
            </w:pPr>
            <w:r>
              <w:rPr>
                <w:rFonts w:hint="eastAsia" w:asciiTheme="minorEastAsia" w:hAnsiTheme="minorEastAsia" w:eastAsiaTheme="minorEastAsia" w:cstheme="minorEastAsia"/>
                <w:color w:val="auto"/>
                <w:kern w:val="0"/>
                <w:sz w:val="24"/>
                <w:szCs w:val="24"/>
                <w:highlight w:val="none"/>
                <w:lang w:bidi="ar"/>
              </w:rPr>
              <w:t>28.2</w:t>
            </w:r>
          </w:p>
        </w:tc>
      </w:tr>
    </w:tbl>
    <w:p w14:paraId="09F22801">
      <w:pPr>
        <w:spacing w:line="360" w:lineRule="auto"/>
        <w:ind w:firstLine="480" w:firstLineChars="200"/>
        <w:rPr>
          <w:rFonts w:asciiTheme="minorEastAsia" w:hAnsiTheme="minorEastAsia" w:eastAsiaTheme="minorEastAsia" w:cstheme="minorEastAsia"/>
          <w:color w:val="auto"/>
          <w:sz w:val="24"/>
          <w:highlight w:val="none"/>
        </w:rPr>
      </w:pPr>
      <w:bookmarkStart w:id="27" w:name="_Toc28359090"/>
      <w:bookmarkStart w:id="28" w:name="_Toc35393630"/>
      <w:bookmarkStart w:id="29" w:name="_Toc35393799"/>
      <w:bookmarkStart w:id="30" w:name="_Toc28359013"/>
      <w:bookmarkStart w:id="31" w:name="_Toc35393800"/>
      <w:bookmarkStart w:id="32" w:name="_Toc35393631"/>
      <w:bookmarkStart w:id="33" w:name="_Toc28359014"/>
      <w:bookmarkStart w:id="34" w:name="_Toc28359091"/>
      <w:r>
        <w:rPr>
          <w:rFonts w:hint="eastAsia" w:hAnsi="宋体" w:cs="宋体"/>
          <w:color w:val="auto"/>
          <w:sz w:val="24"/>
          <w:szCs w:val="24"/>
          <w:highlight w:val="none"/>
        </w:rPr>
        <w:t>合同履约期限</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rPr>
        <w:t>自采购合同签订后30日（日历日）内交货并完成安装调试。</w:t>
      </w:r>
    </w:p>
    <w:p w14:paraId="29F5776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本项目不接受联合体投标。</w:t>
      </w:r>
    </w:p>
    <w:p w14:paraId="48F32188">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二、申请人的资格要求：</w:t>
      </w:r>
      <w:bookmarkEnd w:id="27"/>
      <w:bookmarkEnd w:id="28"/>
      <w:bookmarkEnd w:id="29"/>
      <w:bookmarkEnd w:id="30"/>
    </w:p>
    <w:p w14:paraId="325A3A3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1.满足《中华人民共和国政府采购法》第二十二条规定；</w:t>
      </w:r>
    </w:p>
    <w:p w14:paraId="4A775732">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2.落实政府采购政策需满足的资格要求：</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本项目专门面向中小企业采购。</w:t>
      </w:r>
      <w:r>
        <w:rPr>
          <w:rFonts w:hint="eastAsia" w:asciiTheme="minorEastAsia" w:hAnsiTheme="minorEastAsia" w:eastAsiaTheme="minorEastAsia" w:cstheme="minorEastAsia"/>
          <w:color w:val="auto"/>
          <w:sz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5F58FA7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3.本项目的特定资格要求：</w:t>
      </w:r>
    </w:p>
    <w:p w14:paraId="738EB21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（1）与招标人存在利害关系可能影响招标公正性的法人、其他组织或者个人，不得参加同一标段投标或者未划分标段的同一招标不得参加投标；</w:t>
      </w:r>
    </w:p>
    <w:p w14:paraId="445372BA">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（2）投标单位负责人为同一人或者存在直接控股、管理关系的不同投标人不得参加同一合同项下的采购活动。</w:t>
      </w:r>
    </w:p>
    <w:p w14:paraId="506516F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bookmarkEnd w:id="31"/>
    <w:bookmarkEnd w:id="32"/>
    <w:bookmarkEnd w:id="33"/>
    <w:bookmarkEnd w:id="34"/>
    <w:p w14:paraId="512F1A49">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三、获取招标文件</w:t>
      </w:r>
    </w:p>
    <w:p w14:paraId="1710357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时间：2026年</w:t>
      </w:r>
      <w:r>
        <w:rPr>
          <w:rFonts w:hint="eastAsia" w:asciiTheme="minorEastAsia" w:hAnsiTheme="minorEastAsia" w:eastAsiaTheme="minorEastAsia" w:cstheme="minorEastAsia"/>
          <w:color w:val="auto"/>
          <w:sz w:val="24"/>
          <w:highlight w:val="none"/>
          <w:lang w:val="en-US" w:eastAsia="zh-CN"/>
        </w:rPr>
        <w:t>09</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29</w:t>
      </w:r>
      <w:r>
        <w:rPr>
          <w:rFonts w:hint="eastAsia" w:asciiTheme="minorEastAsia" w:hAnsiTheme="minorEastAsia" w:eastAsiaTheme="minorEastAsia" w:cstheme="minorEastAsia"/>
          <w:color w:val="auto"/>
          <w:sz w:val="24"/>
          <w:highlight w:val="none"/>
        </w:rPr>
        <w:t>日至2026年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日（每天上午10:00至13:30，下午16:00至19:30（北京时间，法定节假日除外）</w:t>
      </w:r>
    </w:p>
    <w:p w14:paraId="63DFF2FD">
      <w:pPr>
        <w:spacing w:line="360" w:lineRule="auto"/>
        <w:ind w:firstLine="480" w:firstLineChars="200"/>
        <w:rPr>
          <w:rFonts w:hint="default" w:asciiTheme="minorEastAsia" w:hAnsiTheme="minorEastAsia" w:eastAsiaTheme="minorEastAsia" w:cstheme="minorEastAsia"/>
          <w:color w:val="auto"/>
          <w:sz w:val="24"/>
          <w:highlight w:val="none"/>
          <w:lang w:val="en-US" w:eastAsia="zh-CN"/>
        </w:rPr>
      </w:pPr>
      <w:bookmarkStart w:id="35" w:name="_Toc35393801"/>
      <w:bookmarkStart w:id="36" w:name="_Toc28359092"/>
      <w:bookmarkStart w:id="37" w:name="_Toc35393632"/>
      <w:bookmarkStart w:id="38" w:name="_Toc28359015"/>
      <w:r>
        <w:rPr>
          <w:rFonts w:hint="eastAsia" w:asciiTheme="minorEastAsia" w:hAnsiTheme="minorEastAsia" w:eastAsiaTheme="minorEastAsia" w:cstheme="minorEastAsia"/>
          <w:color w:val="auto"/>
          <w:sz w:val="24"/>
          <w:highlight w:val="none"/>
        </w:rPr>
        <w:t>地点：</w:t>
      </w:r>
      <w:r>
        <w:rPr>
          <w:rFonts w:hint="eastAsia" w:asciiTheme="minorEastAsia" w:hAnsiTheme="minorEastAsia" w:eastAsiaTheme="minorEastAsia" w:cstheme="minorEastAsia"/>
          <w:color w:val="auto"/>
          <w:sz w:val="24"/>
          <w:highlight w:val="none"/>
          <w:lang w:val="en-US" w:eastAsia="zh-CN"/>
        </w:rPr>
        <w:t>中国政府采购网</w:t>
      </w:r>
    </w:p>
    <w:bookmarkEnd w:id="35"/>
    <w:bookmarkEnd w:id="36"/>
    <w:bookmarkEnd w:id="37"/>
    <w:bookmarkEnd w:id="38"/>
    <w:p w14:paraId="2179CF2B">
      <w:pPr>
        <w:spacing w:line="360" w:lineRule="auto"/>
        <w:ind w:firstLine="480" w:firstLineChars="200"/>
        <w:rPr>
          <w:rFonts w:asciiTheme="minorEastAsia" w:hAnsiTheme="minorEastAsia" w:eastAsiaTheme="minorEastAsia" w:cstheme="minorEastAsia"/>
          <w:color w:val="auto"/>
          <w:sz w:val="24"/>
          <w:highlight w:val="none"/>
        </w:rPr>
      </w:pPr>
      <w:bookmarkStart w:id="39" w:name="_Toc35393635"/>
      <w:bookmarkStart w:id="40" w:name="_Toc35393804"/>
      <w:r>
        <w:rPr>
          <w:rFonts w:hint="eastAsia" w:asciiTheme="minorEastAsia" w:hAnsiTheme="minorEastAsia" w:eastAsiaTheme="minorEastAsia" w:cstheme="minorEastAsia"/>
          <w:color w:val="auto"/>
          <w:sz w:val="24"/>
          <w:highlight w:val="none"/>
        </w:rPr>
        <w:t>方式：线上</w:t>
      </w:r>
    </w:p>
    <w:p w14:paraId="590D76BE">
      <w:pPr>
        <w:spacing w:line="360" w:lineRule="auto"/>
        <w:ind w:firstLine="54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售价：0.00元</w:t>
      </w:r>
    </w:p>
    <w:p w14:paraId="749133DB">
      <w:pPr>
        <w:spacing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四、提交投标文件截止时间、开标时间和地点</w:t>
      </w:r>
    </w:p>
    <w:p w14:paraId="017F5ACA">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bookmarkStart w:id="41" w:name="_Toc35393802"/>
      <w:bookmarkStart w:id="42" w:name="_Toc28359093"/>
      <w:bookmarkStart w:id="43" w:name="_Toc28359016"/>
      <w:bookmarkStart w:id="44" w:name="_Toc35393633"/>
      <w:r>
        <w:rPr>
          <w:rFonts w:hint="eastAsia" w:asciiTheme="minorEastAsia" w:hAnsiTheme="minorEastAsia" w:eastAsiaTheme="minorEastAsia" w:cstheme="minorEastAsia"/>
          <w:color w:val="auto"/>
          <w:highlight w:val="none"/>
        </w:rPr>
        <w:t>提交投标文件截止时间：2026年</w:t>
      </w: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21</w:t>
      </w:r>
      <w:r>
        <w:rPr>
          <w:rFonts w:hint="eastAsia" w:asciiTheme="minorEastAsia" w:hAnsiTheme="minorEastAsia" w:eastAsiaTheme="minorEastAsia" w:cstheme="minorEastAsia"/>
          <w:color w:val="auto"/>
          <w:highlight w:val="none"/>
        </w:rPr>
        <w:t>日</w:t>
      </w: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rPr>
        <w:t>分（北京时间）</w:t>
      </w:r>
    </w:p>
    <w:p w14:paraId="0DCA9F2C">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开标时间：2026年</w:t>
      </w: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21</w:t>
      </w:r>
      <w:r>
        <w:rPr>
          <w:rFonts w:hint="eastAsia" w:asciiTheme="minorEastAsia" w:hAnsiTheme="minorEastAsia" w:eastAsiaTheme="minorEastAsia" w:cstheme="minorEastAsia"/>
          <w:color w:val="auto"/>
          <w:highlight w:val="none"/>
        </w:rPr>
        <w:t>日</w:t>
      </w: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rPr>
        <w:t>分（北京时间）</w:t>
      </w:r>
    </w:p>
    <w:p w14:paraId="31491FC5">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地点：克拉玛依市恒隆广场A座4</w:t>
      </w:r>
      <w:r>
        <w:rPr>
          <w:rFonts w:hint="eastAsia" w:asciiTheme="minorEastAsia" w:hAnsiTheme="minorEastAsia" w:eastAsiaTheme="minorEastAsia" w:cstheme="minorEastAsia"/>
          <w:color w:val="auto"/>
          <w:highlight w:val="none"/>
          <w:lang w:val="en-US" w:eastAsia="zh-CN"/>
        </w:rPr>
        <w:t>12-1</w:t>
      </w:r>
      <w:r>
        <w:rPr>
          <w:rFonts w:hint="eastAsia" w:asciiTheme="minorEastAsia" w:hAnsiTheme="minorEastAsia" w:eastAsiaTheme="minorEastAsia" w:cstheme="minorEastAsia"/>
          <w:color w:val="auto"/>
          <w:highlight w:val="none"/>
        </w:rPr>
        <w:t>室</w:t>
      </w:r>
    </w:p>
    <w:bookmarkEnd w:id="41"/>
    <w:bookmarkEnd w:id="42"/>
    <w:bookmarkEnd w:id="43"/>
    <w:bookmarkEnd w:id="44"/>
    <w:p w14:paraId="5D54A42A">
      <w:pPr>
        <w:pStyle w:val="35"/>
        <w:spacing w:before="0" w:beforeAutospacing="0" w:after="0" w:afterAutospacing="0" w:line="360" w:lineRule="auto"/>
        <w:ind w:firstLine="482" w:firstLineChars="200"/>
        <w:rPr>
          <w:rFonts w:asciiTheme="minorEastAsia" w:hAnsiTheme="minorEastAsia" w:eastAsiaTheme="minorEastAsia" w:cstheme="minorEastAsia"/>
          <w:b/>
          <w:bCs/>
          <w:color w:val="auto"/>
          <w:highlight w:val="none"/>
        </w:rPr>
      </w:pPr>
      <w:bookmarkStart w:id="45" w:name="_Toc28359094"/>
      <w:bookmarkStart w:id="46" w:name="_Toc28359017"/>
      <w:bookmarkStart w:id="47" w:name="_Toc35393634"/>
      <w:bookmarkStart w:id="48" w:name="_Toc35393803"/>
      <w:r>
        <w:rPr>
          <w:rFonts w:hint="eastAsia" w:asciiTheme="minorEastAsia" w:hAnsiTheme="minorEastAsia" w:eastAsiaTheme="minorEastAsia" w:cstheme="minorEastAsia"/>
          <w:b/>
          <w:bCs/>
          <w:color w:val="auto"/>
          <w:highlight w:val="none"/>
        </w:rPr>
        <w:t>五、公告期限</w:t>
      </w:r>
      <w:bookmarkEnd w:id="45"/>
      <w:bookmarkEnd w:id="46"/>
      <w:bookmarkEnd w:id="47"/>
      <w:bookmarkEnd w:id="48"/>
    </w:p>
    <w:p w14:paraId="132ACE6B">
      <w:pPr>
        <w:pStyle w:val="35"/>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自本公告发布之日起5个工作日</w:t>
      </w:r>
    </w:p>
    <w:p w14:paraId="6C3D90EC">
      <w:pPr>
        <w:pStyle w:val="35"/>
        <w:spacing w:before="0" w:beforeAutospacing="0" w:after="0" w:afterAutospacing="0" w:line="360" w:lineRule="auto"/>
        <w:ind w:firstLine="48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六、其他补充事宜</w:t>
      </w:r>
      <w:bookmarkEnd w:id="39"/>
      <w:bookmarkEnd w:id="40"/>
    </w:p>
    <w:p w14:paraId="10ED9477">
      <w:pPr>
        <w:spacing w:line="360" w:lineRule="auto"/>
        <w:ind w:firstLine="480" w:firstLineChars="200"/>
        <w:rPr>
          <w:rFonts w:asciiTheme="minorEastAsia" w:hAnsiTheme="minorEastAsia" w:eastAsiaTheme="minorEastAsia" w:cstheme="minorEastAsia"/>
          <w:color w:val="auto"/>
          <w:sz w:val="24"/>
          <w:highlight w:val="none"/>
        </w:rPr>
      </w:pPr>
      <w:bookmarkStart w:id="49" w:name="_Toc35393636"/>
      <w:bookmarkStart w:id="50" w:name="_Toc28359018"/>
      <w:bookmarkStart w:id="51" w:name="_Toc28359095"/>
      <w:bookmarkStart w:id="52" w:name="_Toc35393805"/>
      <w:r>
        <w:rPr>
          <w:rFonts w:hint="eastAsia" w:asciiTheme="minorEastAsia" w:hAnsiTheme="minorEastAsia" w:eastAsiaTheme="minorEastAsia" w:cstheme="minorEastAsia"/>
          <w:color w:val="auto"/>
          <w:sz w:val="24"/>
          <w:highlight w:val="none"/>
        </w:rPr>
        <w:t>领取招标文件时：需将单位名称、所投项目名称、联系人、联系方式和电子邮箱号书写在一张A4纸上并加盖公章，扫描件递交至新疆宏宇建设工程项目管理有限责任公司（克拉玛依市恒隆广场A座4</w:t>
      </w:r>
      <w:r>
        <w:rPr>
          <w:rFonts w:hint="eastAsia" w:asciiTheme="minorEastAsia" w:hAnsiTheme="minorEastAsia" w:eastAsiaTheme="minorEastAsia" w:cstheme="minorEastAsia"/>
          <w:color w:val="auto"/>
          <w:sz w:val="24"/>
          <w:highlight w:val="none"/>
          <w:lang w:val="en-US" w:eastAsia="zh-CN"/>
        </w:rPr>
        <w:t>15-1</w:t>
      </w:r>
      <w:r>
        <w:rPr>
          <w:rFonts w:hint="eastAsia" w:asciiTheme="minorEastAsia" w:hAnsiTheme="minorEastAsia" w:eastAsiaTheme="minorEastAsia" w:cstheme="minorEastAsia"/>
          <w:color w:val="auto"/>
          <w:sz w:val="24"/>
          <w:highlight w:val="none"/>
        </w:rPr>
        <w:t>室），或发送至指定邮箱</w:t>
      </w:r>
      <w:r>
        <w:rPr>
          <w:rFonts w:hint="eastAsia" w:asciiTheme="minorEastAsia" w:hAnsiTheme="minorEastAsia" w:eastAsiaTheme="minorEastAsia" w:cstheme="minorEastAsia"/>
          <w:color w:val="auto"/>
          <w:sz w:val="24"/>
          <w:highlight w:val="none"/>
        </w:rPr>
        <w:t>289701204@qq.com</w:t>
      </w:r>
    </w:p>
    <w:p w14:paraId="05654DE9">
      <w:pPr>
        <w:spacing w:line="360" w:lineRule="auto"/>
        <w:ind w:firstLine="482" w:firstLineChars="200"/>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七、凡对本次采购提出询问，请按以下方式联系。</w:t>
      </w:r>
      <w:bookmarkEnd w:id="49"/>
      <w:bookmarkEnd w:id="50"/>
      <w:bookmarkEnd w:id="51"/>
      <w:bookmarkEnd w:id="52"/>
      <w:bookmarkStart w:id="53" w:name="_Toc35393806"/>
      <w:bookmarkStart w:id="54" w:name="_Toc28359096"/>
      <w:bookmarkStart w:id="55" w:name="_Toc35393637"/>
      <w:bookmarkStart w:id="56" w:name="_Toc28359019"/>
    </w:p>
    <w:bookmarkEnd w:id="53"/>
    <w:bookmarkEnd w:id="54"/>
    <w:bookmarkEnd w:id="55"/>
    <w:bookmarkEnd w:id="56"/>
    <w:p w14:paraId="1A6A8B5C">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1.采购人信息</w:t>
      </w:r>
    </w:p>
    <w:p w14:paraId="0471063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称：中国石油大学（北京）</w:t>
      </w:r>
    </w:p>
    <w:p w14:paraId="7F09266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址：新疆克拉玛依市克拉玛依区安定路355号</w:t>
      </w:r>
    </w:p>
    <w:p w14:paraId="1D12376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 系 人：王逸伟</w:t>
      </w:r>
    </w:p>
    <w:p w14:paraId="5EE3132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联系电话：13488779576</w:t>
      </w:r>
    </w:p>
    <w:p w14:paraId="48627843">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2.采购代理机构信息</w:t>
      </w:r>
    </w:p>
    <w:p w14:paraId="04AC8BEB">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称：新疆宏宇建设工程项目管理有限责任公司</w:t>
      </w:r>
    </w:p>
    <w:p w14:paraId="6A806739">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址：克拉玛依市恒隆广场A座401-1室</w:t>
      </w:r>
    </w:p>
    <w:p w14:paraId="5B04E00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联系方式：魏丽   杨童艳   徐璐琪18935837269   0990-6608599</w:t>
      </w:r>
    </w:p>
    <w:p w14:paraId="65136314">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3.项目联系方式</w:t>
      </w:r>
    </w:p>
    <w:p w14:paraId="33CCDDBE">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项目联系人：魏丽   杨童艳   徐璐琪</w:t>
      </w:r>
    </w:p>
    <w:p w14:paraId="556395F1">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电话：18935837269   0990-6608599</w:t>
      </w:r>
    </w:p>
    <w:p w14:paraId="687C292C">
      <w:pPr>
        <w:pStyle w:val="128"/>
        <w:ind w:left="432" w:right="130"/>
        <w:jc w:val="right"/>
        <w:rPr>
          <w:rFonts w:asciiTheme="minorEastAsia" w:hAnsiTheme="minorEastAsia" w:eastAsiaTheme="minorEastAsia" w:cstheme="minorEastAsia"/>
          <w:color w:val="auto"/>
          <w:highlight w:val="none"/>
          <w:lang w:eastAsia="zh-CN"/>
        </w:rPr>
      </w:pPr>
    </w:p>
    <w:p w14:paraId="7E446907">
      <w:pPr>
        <w:pStyle w:val="128"/>
        <w:ind w:left="432" w:right="130"/>
        <w:jc w:val="right"/>
        <w:rPr>
          <w:rFonts w:asciiTheme="minorEastAsia" w:hAnsiTheme="minorEastAsia" w:eastAsiaTheme="minorEastAsia" w:cstheme="minorEastAsia"/>
          <w:color w:val="auto"/>
          <w:highlight w:val="none"/>
          <w:lang w:eastAsia="zh-CN"/>
        </w:rPr>
      </w:pPr>
    </w:p>
    <w:p w14:paraId="217E2EE6">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5"/>
    <w:p w14:paraId="00DA030D">
      <w:pPr>
        <w:pStyle w:val="2"/>
        <w:rPr>
          <w:color w:val="auto"/>
          <w:highlight w:val="none"/>
        </w:rPr>
      </w:pPr>
      <w:bookmarkStart w:id="57" w:name="_Toc13939"/>
      <w:bookmarkStart w:id="58" w:name="_Toc16938518"/>
      <w:bookmarkStart w:id="59" w:name="_Toc120614213"/>
      <w:bookmarkStart w:id="60" w:name="_Toc20823274"/>
      <w:bookmarkStart w:id="61" w:name="_Toc8919"/>
      <w:bookmarkStart w:id="62" w:name="_Toc513029202"/>
      <w:bookmarkStart w:id="63" w:name="_Toc26763"/>
      <w:bookmarkStart w:id="64" w:name="_Toc9359"/>
      <w:r>
        <w:rPr>
          <w:rFonts w:hint="eastAsia"/>
          <w:color w:val="auto"/>
          <w:highlight w:val="none"/>
        </w:rPr>
        <w:t>第二章 投标人须知</w:t>
      </w:r>
      <w:bookmarkEnd w:id="16"/>
      <w:bookmarkEnd w:id="57"/>
      <w:bookmarkEnd w:id="58"/>
      <w:bookmarkEnd w:id="59"/>
      <w:bookmarkEnd w:id="60"/>
      <w:bookmarkEnd w:id="61"/>
      <w:bookmarkEnd w:id="62"/>
      <w:bookmarkEnd w:id="63"/>
      <w:bookmarkEnd w:id="64"/>
    </w:p>
    <w:p w14:paraId="46B3C6DD">
      <w:pPr>
        <w:pStyle w:val="4"/>
        <w:rPr>
          <w:color w:val="auto"/>
          <w:highlight w:val="none"/>
        </w:rPr>
      </w:pPr>
      <w:bookmarkStart w:id="65" w:name="_Toc21065"/>
      <w:bookmarkStart w:id="66" w:name="_Toc19352"/>
      <w:bookmarkStart w:id="67" w:name="_Toc534725606"/>
      <w:r>
        <w:rPr>
          <w:rFonts w:hint="eastAsia"/>
          <w:color w:val="auto"/>
          <w:highlight w:val="none"/>
        </w:rPr>
        <w:t xml:space="preserve">一、总  </w:t>
      </w:r>
      <w:bookmarkStart w:id="68" w:name="_Toc9510635"/>
      <w:r>
        <w:rPr>
          <w:rFonts w:hint="eastAsia"/>
          <w:color w:val="auto"/>
          <w:highlight w:val="none"/>
        </w:rPr>
        <w:t>则</w:t>
      </w:r>
      <w:bookmarkEnd w:id="65"/>
      <w:bookmarkEnd w:id="66"/>
    </w:p>
    <w:p w14:paraId="79E0EE84">
      <w:pPr>
        <w:pStyle w:val="5"/>
        <w:rPr>
          <w:color w:val="auto"/>
          <w:highlight w:val="none"/>
        </w:rPr>
      </w:pPr>
      <w:bookmarkStart w:id="69" w:name="_Toc26214"/>
      <w:r>
        <w:rPr>
          <w:rFonts w:hint="eastAsia"/>
          <w:color w:val="auto"/>
          <w:highlight w:val="none"/>
        </w:rPr>
        <w:t>1、适用</w:t>
      </w:r>
      <w:bookmarkEnd w:id="68"/>
      <w:r>
        <w:rPr>
          <w:rFonts w:hint="eastAsia"/>
          <w:color w:val="auto"/>
          <w:highlight w:val="none"/>
        </w:rPr>
        <w:t>范围</w:t>
      </w:r>
      <w:bookmarkEnd w:id="69"/>
    </w:p>
    <w:p w14:paraId="452B2847">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14:paraId="23B4FC0B">
      <w:pPr>
        <w:pStyle w:val="5"/>
        <w:rPr>
          <w:color w:val="auto"/>
          <w:highlight w:val="none"/>
        </w:rPr>
      </w:pPr>
      <w:bookmarkStart w:id="70" w:name="_Toc24800"/>
      <w:r>
        <w:rPr>
          <w:rFonts w:hint="eastAsia"/>
          <w:color w:val="auto"/>
          <w:highlight w:val="none"/>
        </w:rPr>
        <w:t>2、定义</w:t>
      </w:r>
      <w:bookmarkEnd w:id="70"/>
    </w:p>
    <w:p w14:paraId="7135FA13">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14:paraId="3EC7A11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14:paraId="0B7ACDE3">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14:paraId="0139469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14:paraId="0D5619D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14:paraId="3B2A7180">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14:paraId="66510E6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14:paraId="4EA29847">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14:paraId="4EB8B63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14:paraId="1F33D87E">
      <w:pPr>
        <w:pStyle w:val="5"/>
        <w:rPr>
          <w:color w:val="auto"/>
          <w:highlight w:val="none"/>
        </w:rPr>
      </w:pPr>
      <w:bookmarkStart w:id="71" w:name="_Toc17392"/>
      <w:r>
        <w:rPr>
          <w:rFonts w:hint="eastAsia"/>
          <w:color w:val="auto"/>
          <w:highlight w:val="none"/>
        </w:rPr>
        <w:t>3、招标方式</w:t>
      </w:r>
      <w:bookmarkEnd w:id="71"/>
    </w:p>
    <w:p w14:paraId="23051232">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14:paraId="1497D964">
      <w:pPr>
        <w:pStyle w:val="5"/>
        <w:rPr>
          <w:color w:val="auto"/>
          <w:highlight w:val="none"/>
        </w:rPr>
      </w:pPr>
      <w:bookmarkStart w:id="72" w:name="_Toc32376"/>
      <w:r>
        <w:rPr>
          <w:rFonts w:hint="eastAsia"/>
          <w:color w:val="auto"/>
          <w:highlight w:val="none"/>
        </w:rPr>
        <w:t>4、投标委托</w:t>
      </w:r>
      <w:bookmarkEnd w:id="72"/>
    </w:p>
    <w:p w14:paraId="207B80E9">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14:paraId="3D0D2B3C">
      <w:pPr>
        <w:pStyle w:val="5"/>
        <w:rPr>
          <w:color w:val="auto"/>
          <w:highlight w:val="none"/>
        </w:rPr>
      </w:pPr>
      <w:bookmarkStart w:id="73" w:name="_Toc21031"/>
      <w:r>
        <w:rPr>
          <w:rFonts w:hint="eastAsia"/>
          <w:color w:val="auto"/>
          <w:highlight w:val="none"/>
        </w:rPr>
        <w:t>5、投标费用</w:t>
      </w:r>
      <w:bookmarkEnd w:id="73"/>
    </w:p>
    <w:p w14:paraId="3D40664D">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14:paraId="6AA17914">
      <w:pPr>
        <w:pStyle w:val="5"/>
        <w:rPr>
          <w:color w:val="auto"/>
          <w:highlight w:val="none"/>
        </w:rPr>
      </w:pPr>
      <w:bookmarkStart w:id="74" w:name="_Toc505"/>
      <w:r>
        <w:rPr>
          <w:rFonts w:hint="eastAsia"/>
          <w:color w:val="auto"/>
          <w:highlight w:val="none"/>
        </w:rPr>
        <w:t>6、分包转包</w:t>
      </w:r>
      <w:bookmarkEnd w:id="74"/>
    </w:p>
    <w:p w14:paraId="4FAEDDB0">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14:paraId="027B9896">
      <w:pPr>
        <w:pStyle w:val="5"/>
        <w:rPr>
          <w:color w:val="auto"/>
          <w:highlight w:val="none"/>
        </w:rPr>
      </w:pPr>
      <w:bookmarkStart w:id="75" w:name="_Toc5076"/>
      <w:r>
        <w:rPr>
          <w:rFonts w:hint="eastAsia"/>
          <w:color w:val="auto"/>
          <w:highlight w:val="none"/>
        </w:rPr>
        <w:t>7、提供相同品牌产品处理</w:t>
      </w:r>
      <w:bookmarkEnd w:id="75"/>
    </w:p>
    <w:p w14:paraId="5A995854">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按照投标报价最低的同品牌投标人获得中标人推荐资格；得分且投标报价相同的由评标委员会采取随机抽取方式确定中标人推荐资格，其他同品牌投标人不作为中标候选人。 </w:t>
      </w:r>
    </w:p>
    <w:p w14:paraId="47DE844E">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14:paraId="3E86837F">
      <w:pPr>
        <w:pStyle w:val="5"/>
        <w:rPr>
          <w:color w:val="auto"/>
          <w:highlight w:val="none"/>
        </w:rPr>
      </w:pPr>
      <w:bookmarkStart w:id="76" w:name="_Toc21631"/>
      <w:r>
        <w:rPr>
          <w:rFonts w:hint="eastAsia"/>
          <w:color w:val="auto"/>
          <w:highlight w:val="none"/>
        </w:rPr>
        <w:t>8、特别说明：</w:t>
      </w:r>
      <w:bookmarkEnd w:id="76"/>
    </w:p>
    <w:p w14:paraId="496F6CD6">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14:paraId="52AF3571">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14:paraId="26A218E1">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14:paraId="33A127A3">
      <w:pPr>
        <w:pStyle w:val="5"/>
        <w:rPr>
          <w:color w:val="auto"/>
          <w:highlight w:val="none"/>
        </w:rPr>
      </w:pPr>
      <w:bookmarkStart w:id="77" w:name="_Toc24888"/>
      <w:r>
        <w:rPr>
          <w:rFonts w:hint="eastAsia"/>
          <w:color w:val="auto"/>
          <w:highlight w:val="none"/>
        </w:rPr>
        <w:t>9、质疑</w:t>
      </w:r>
      <w:bookmarkEnd w:id="77"/>
    </w:p>
    <w:p w14:paraId="487A5F0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rPr>
        <w:t>投标人应在法定质疑期内一次性提出针对同一采购程序环节的质疑。</w:t>
      </w:r>
    </w:p>
    <w:p w14:paraId="199C359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18C15FA4">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14:paraId="4D7ED25F">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14:paraId="15595E68">
      <w:pPr>
        <w:pStyle w:val="6"/>
        <w:spacing w:line="360" w:lineRule="auto"/>
        <w:ind w:firstLine="360"/>
        <w:rPr>
          <w:rFonts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9.4接收质疑函的方式：以书面方式将质疑函邮寄至联系部门或当面递交至联系部门，或将质疑函扫描后发送至指定邮箱</w:t>
      </w:r>
      <w:r>
        <w:rPr>
          <w:rFonts w:hint="eastAsia" w:asciiTheme="majorEastAsia" w:hAnsiTheme="majorEastAsia" w:eastAsiaTheme="majorEastAsia" w:cstheme="majorEastAsia"/>
          <w:b w:val="0"/>
          <w:color w:val="auto"/>
          <w:sz w:val="24"/>
          <w:szCs w:val="24"/>
          <w:highlight w:val="none"/>
        </w:rPr>
        <w:t>289701204@qq.com</w:t>
      </w:r>
      <w:r>
        <w:rPr>
          <w:rFonts w:hint="eastAsia" w:asciiTheme="majorEastAsia" w:hAnsiTheme="majorEastAsia" w:eastAsiaTheme="majorEastAsia" w:cstheme="majorEastAsia"/>
          <w:b w:val="0"/>
          <w:color w:val="auto"/>
          <w:sz w:val="24"/>
          <w:szCs w:val="24"/>
          <w:highlight w:val="none"/>
        </w:rPr>
        <w:t>。</w:t>
      </w:r>
    </w:p>
    <w:p w14:paraId="208771B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联系部门：新疆宏宇建设工程项目管理有限责任公司</w:t>
      </w:r>
    </w:p>
    <w:p w14:paraId="0722E46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 系 人：魏丽、杨童艳、徐璐琪</w:t>
      </w:r>
    </w:p>
    <w:p w14:paraId="60A0481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联系地址：克拉玛依市恒隆广场A座401-1室</w:t>
      </w:r>
    </w:p>
    <w:p w14:paraId="7FFA4E9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联系电话：0990-6608599  18935837269（徐璐琪）</w:t>
      </w:r>
    </w:p>
    <w:p w14:paraId="40A574C2">
      <w:pPr>
        <w:pStyle w:val="4"/>
        <w:rPr>
          <w:color w:val="auto"/>
          <w:highlight w:val="none"/>
        </w:rPr>
      </w:pPr>
      <w:bookmarkStart w:id="78" w:name="_Toc31383"/>
      <w:bookmarkStart w:id="79" w:name="_Toc12925"/>
      <w:r>
        <w:rPr>
          <w:rFonts w:hint="eastAsia"/>
          <w:color w:val="auto"/>
          <w:highlight w:val="none"/>
        </w:rPr>
        <w:t>二、</w:t>
      </w:r>
      <w:bookmarkEnd w:id="78"/>
      <w:bookmarkEnd w:id="79"/>
      <w:bookmarkStart w:id="80" w:name="_Toc9510636"/>
      <w:r>
        <w:rPr>
          <w:rFonts w:hint="eastAsia"/>
          <w:color w:val="auto"/>
          <w:highlight w:val="none"/>
        </w:rPr>
        <w:t>招标文件</w:t>
      </w:r>
    </w:p>
    <w:p w14:paraId="267D0D05">
      <w:pPr>
        <w:pStyle w:val="5"/>
        <w:rPr>
          <w:color w:val="auto"/>
          <w:highlight w:val="none"/>
        </w:rPr>
      </w:pPr>
      <w:bookmarkStart w:id="81" w:name="_Toc11465"/>
      <w:r>
        <w:rPr>
          <w:rFonts w:hint="eastAsia"/>
          <w:color w:val="auto"/>
          <w:highlight w:val="none"/>
        </w:rPr>
        <w:t>10、</w:t>
      </w:r>
      <w:bookmarkEnd w:id="80"/>
      <w:r>
        <w:rPr>
          <w:rFonts w:hint="eastAsia"/>
          <w:color w:val="auto"/>
          <w:highlight w:val="none"/>
        </w:rPr>
        <w:t>招标文件的构成</w:t>
      </w:r>
      <w:bookmarkEnd w:id="81"/>
      <w:r>
        <w:rPr>
          <w:rFonts w:hint="eastAsia" w:asciiTheme="majorEastAsia" w:hAnsiTheme="majorEastAsia" w:eastAsiaTheme="majorEastAsia" w:cstheme="majorEastAsia"/>
          <w:b w:val="0"/>
          <w:bCs w:val="0"/>
          <w:color w:val="auto"/>
          <w:sz w:val="24"/>
          <w:szCs w:val="24"/>
          <w:highlight w:val="none"/>
        </w:rPr>
        <w:t>（详见本招标文件目录明细）</w:t>
      </w:r>
    </w:p>
    <w:p w14:paraId="26694ACA">
      <w:pPr>
        <w:pStyle w:val="5"/>
        <w:rPr>
          <w:color w:val="auto"/>
          <w:highlight w:val="none"/>
        </w:rPr>
      </w:pPr>
      <w:bookmarkStart w:id="82" w:name="_Toc9329"/>
      <w:r>
        <w:rPr>
          <w:rFonts w:hint="eastAsia"/>
          <w:color w:val="auto"/>
          <w:highlight w:val="none"/>
        </w:rPr>
        <w:t>11、投标人的风险</w:t>
      </w:r>
      <w:bookmarkEnd w:id="82"/>
    </w:p>
    <w:p w14:paraId="3066F64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79030C42">
      <w:pPr>
        <w:pStyle w:val="5"/>
        <w:rPr>
          <w:color w:val="auto"/>
          <w:highlight w:val="none"/>
        </w:rPr>
      </w:pPr>
      <w:bookmarkStart w:id="83" w:name="_Toc14128"/>
      <w:r>
        <w:rPr>
          <w:rFonts w:hint="eastAsia"/>
          <w:color w:val="auto"/>
          <w:highlight w:val="none"/>
        </w:rPr>
        <w:t>1</w:t>
      </w:r>
      <w:bookmarkStart w:id="84" w:name="_Toc9510637"/>
      <w:r>
        <w:rPr>
          <w:rFonts w:hint="eastAsia"/>
          <w:color w:val="auto"/>
          <w:highlight w:val="none"/>
        </w:rPr>
        <w:t>2、招标文件的澄清与修改</w:t>
      </w:r>
      <w:bookmarkEnd w:id="83"/>
    </w:p>
    <w:p w14:paraId="04FA3398">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14:paraId="0D9A0C30">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9D2493A">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14:paraId="43503453">
      <w:pPr>
        <w:pStyle w:val="4"/>
        <w:rPr>
          <w:color w:val="auto"/>
          <w:highlight w:val="none"/>
        </w:rPr>
      </w:pPr>
      <w:bookmarkStart w:id="85" w:name="_Toc3009"/>
      <w:bookmarkStart w:id="86" w:name="_Toc25731"/>
      <w:r>
        <w:rPr>
          <w:rFonts w:hint="eastAsia"/>
          <w:color w:val="auto"/>
          <w:highlight w:val="none"/>
        </w:rPr>
        <w:t>三、投标文件的编制</w:t>
      </w:r>
      <w:bookmarkEnd w:id="85"/>
      <w:bookmarkEnd w:id="86"/>
    </w:p>
    <w:bookmarkEnd w:id="84"/>
    <w:p w14:paraId="76F43076">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招标文件要求编制并独立密封，不得混装，否则视为无效标。</w:t>
      </w:r>
    </w:p>
    <w:p w14:paraId="10F416AE">
      <w:pPr>
        <w:pStyle w:val="5"/>
        <w:rPr>
          <w:color w:val="auto"/>
          <w:highlight w:val="none"/>
        </w:rPr>
      </w:pPr>
      <w:bookmarkStart w:id="87" w:name="_Toc29638"/>
      <w:r>
        <w:rPr>
          <w:rFonts w:hint="eastAsia"/>
          <w:color w:val="auto"/>
          <w:highlight w:val="none"/>
        </w:rPr>
        <w:t>13、投标文件的组成</w:t>
      </w:r>
      <w:bookmarkEnd w:id="87"/>
    </w:p>
    <w:p w14:paraId="7F16D5C4">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投标文件由报价部分、商务部分、技术部分组成。</w:t>
      </w:r>
    </w:p>
    <w:p w14:paraId="2A13C820">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报价部分</w:t>
      </w:r>
    </w:p>
    <w:p w14:paraId="53F13A48">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14:paraId="6855C102">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14:paraId="3CDA564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14:paraId="1F2D830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r>
        <w:rPr>
          <w:rFonts w:hint="eastAsia" w:asciiTheme="majorEastAsia" w:hAnsiTheme="majorEastAsia" w:eastAsiaTheme="majorEastAsia" w:cstheme="majorEastAsia"/>
          <w:color w:val="auto"/>
          <w:sz w:val="24"/>
          <w:szCs w:val="24"/>
          <w:highlight w:val="none"/>
        </w:rPr>
        <w:t>（如有）</w:t>
      </w:r>
      <w:r>
        <w:rPr>
          <w:rFonts w:hint="eastAsia" w:asciiTheme="majorEastAsia" w:hAnsiTheme="majorEastAsia" w:eastAsiaTheme="majorEastAsia" w:cstheme="majorEastAsia"/>
          <w:color w:val="auto"/>
          <w:sz w:val="24"/>
          <w:szCs w:val="24"/>
          <w:highlight w:val="none"/>
        </w:rPr>
        <w:t>；</w:t>
      </w:r>
    </w:p>
    <w:p w14:paraId="30080F6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14:paraId="40432820">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13.2商务部分</w:t>
      </w:r>
    </w:p>
    <w:p w14:paraId="6B672153">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14:paraId="6E7654DA">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14:paraId="4CA21805">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14:paraId="01805628">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14:paraId="3375E3F2">
      <w:pPr>
        <w:adjustRightInd w:val="0"/>
        <w:snapToGrid w:val="0"/>
        <w:spacing w:line="500" w:lineRule="exact"/>
        <w:ind w:firstLine="470" w:firstLineChars="196"/>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stheme="minorEastAsia"/>
          <w:color w:val="auto"/>
          <w:kern w:val="0"/>
          <w:sz w:val="24"/>
          <w:szCs w:val="24"/>
          <w:highlight w:val="none"/>
        </w:rPr>
        <w:t>应提供本单位2025年度经会计师事务所出具的审计报告复印件，（报告中须包括资产负债表、利润表、现金流量表及财务报表附注，如供应商注册不满1年无需提供上述资料）；</w:t>
      </w:r>
    </w:p>
    <w:p w14:paraId="4CB68338">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（6）投标人须具有履行合同所必需的设备和专业技术能力，须附相关证明材料或声明；</w:t>
      </w:r>
    </w:p>
    <w:p w14:paraId="10D4EB8D">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14:paraId="535D471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（8）前三年内在经营活动中没有重大违法记录的书面声明（格式见附件）；</w:t>
      </w:r>
    </w:p>
    <w:p w14:paraId="3C7DAA34">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（9）投标人未被列入失信被执行人、重大税收违法失信主体、政府采购严重违法失信行为记录名单；</w:t>
      </w:r>
    </w:p>
    <w:p w14:paraId="3BF76D19">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（10）投标人已取得的各种有效认证证书、政府部门（企业）或第三方权威鉴定机构出具的信用等级证书或证明复印件；（如有）</w:t>
      </w:r>
    </w:p>
    <w:p w14:paraId="1E213A9D">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（11）投标人</w:t>
      </w:r>
      <w:r>
        <w:rPr>
          <w:rFonts w:hint="eastAsia" w:asciiTheme="majorEastAsia" w:hAnsiTheme="majorEastAsia" w:eastAsiaTheme="majorEastAsia" w:cstheme="majorEastAsia"/>
          <w:color w:val="auto"/>
          <w:sz w:val="24"/>
          <w:szCs w:val="24"/>
          <w:highlight w:val="none"/>
        </w:rPr>
        <w:t>2023年1月1日</w:t>
      </w:r>
      <w:r>
        <w:rPr>
          <w:rFonts w:hint="eastAsia" w:asciiTheme="majorEastAsia" w:hAnsiTheme="majorEastAsia" w:eastAsiaTheme="majorEastAsia" w:cstheme="majorEastAsia"/>
          <w:color w:val="auto"/>
          <w:sz w:val="24"/>
          <w:szCs w:val="24"/>
          <w:highlight w:val="none"/>
        </w:rPr>
        <w:t>至今做过与本项目类似的业绩；</w:t>
      </w:r>
    </w:p>
    <w:p w14:paraId="7BD26D67">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（12）政府采购政策扶持证明材料；</w:t>
      </w:r>
    </w:p>
    <w:p w14:paraId="52BBF67D">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（13）其他证明文件或供应商认为应提交的商务文件（如有）。</w:t>
      </w:r>
    </w:p>
    <w:p w14:paraId="0FEBECCF">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13.2技术部分</w:t>
      </w:r>
    </w:p>
    <w:p w14:paraId="68E87B0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（14）技术响应偏离表（格式见附件）；</w:t>
      </w:r>
    </w:p>
    <w:p w14:paraId="39C53787">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（15）产品详细技术规格书（包括产品详细配置、技术性能指标等）（格式自拟）；</w:t>
      </w:r>
    </w:p>
    <w:p w14:paraId="5DF00A69">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（16）与产品相关的由国家认可的检测机构出具的检测报告（如有）；</w:t>
      </w:r>
    </w:p>
    <w:p w14:paraId="5CCC4C36">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（17）针对项目的详细组织方案：包括（但不限于）项目人员安排、供货方案、质量管控方案、测试（调试）方案等内容（格式自拟）；</w:t>
      </w:r>
    </w:p>
    <w:p w14:paraId="2494AD4D">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（18）针对本项目的详细技术培训方案：包括（但不限于）</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培训团队人员配置等</w:t>
      </w:r>
      <w:r>
        <w:rPr>
          <w:rFonts w:hint="eastAsia" w:asciiTheme="majorEastAsia" w:hAnsiTheme="majorEastAsia" w:eastAsiaTheme="majorEastAsia" w:cstheme="majorEastAsia"/>
          <w:color w:val="auto"/>
          <w:sz w:val="24"/>
          <w:szCs w:val="24"/>
          <w:highlight w:val="none"/>
        </w:rPr>
        <w:t>内容（格式自拟）；</w:t>
      </w:r>
    </w:p>
    <w:p w14:paraId="76C93C36">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（19）针对本项目的售后服务方案：包括（但不限于）售后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（含备件清单及价格）、</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rPr>
        <w:t>、</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asciiTheme="majorEastAsia" w:hAnsiTheme="majorEastAsia" w:eastAsiaTheme="majorEastAsia" w:cstheme="majorEastAsia"/>
          <w:color w:val="auto"/>
          <w:sz w:val="24"/>
          <w:szCs w:val="24"/>
          <w:highlight w:val="none"/>
        </w:rPr>
        <w:t>质保外服务措施等</w:t>
      </w:r>
      <w:r>
        <w:rPr>
          <w:rFonts w:hint="eastAsia" w:asciiTheme="majorEastAsia" w:hAnsiTheme="majorEastAsia" w:eastAsiaTheme="majorEastAsia" w:cstheme="majorEastAsia"/>
          <w:color w:val="auto"/>
          <w:sz w:val="24"/>
          <w:szCs w:val="24"/>
          <w:highlight w:val="none"/>
        </w:rPr>
        <w:t>内容（格式自拟）；</w:t>
      </w:r>
    </w:p>
    <w:p w14:paraId="2117CA45">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（20）其他优惠条件（如有）：投标人承诺给予采购人的各种优惠条件，包括备品备件、专用耗材等；</w:t>
      </w:r>
    </w:p>
    <w:p w14:paraId="28B78D36">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（21）投标人需要提供的其他文件或资料（如有）。</w:t>
      </w:r>
    </w:p>
    <w:p w14:paraId="24B129C9">
      <w:pPr>
        <w:adjustRightInd w:val="0"/>
        <w:snapToGrid w:val="0"/>
        <w:spacing w:line="500" w:lineRule="exact"/>
        <w:ind w:left="479" w:leftChars="228"/>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注：a.授权委托书、投标声明书、投标函、开标一览表必须由法定代表人（负责人、自然人）或其授权代表签名（按格式要求）并加盖单位公章。</w:t>
      </w:r>
    </w:p>
    <w:p w14:paraId="3B9CBD57">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b.以上提供的各种证书、证件、证明资料如是复印件，须在复印件上加盖有效公章，如发现有造假嫌疑的，将根据有关规定以“提供虚假材料谋取中标”予以处罚。</w:t>
      </w:r>
    </w:p>
    <w:p w14:paraId="07188ABA">
      <w:pPr>
        <w:adjustRightInd w:val="0"/>
        <w:snapToGrid w:val="0"/>
        <w:spacing w:line="500" w:lineRule="exact"/>
        <w:ind w:left="479" w:leftChars="228" w:firstLine="463" w:firstLineChars="192"/>
        <w:jc w:val="left"/>
        <w:rPr>
          <w:rFonts w:eastAsiaTheme="majorEastAsia"/>
          <w:color w:val="auto"/>
          <w:highlight w:val="none"/>
        </w:rPr>
      </w:pPr>
      <w:r>
        <w:rPr>
          <w:rFonts w:hint="eastAsia" w:asciiTheme="majorEastAsia" w:hAnsiTheme="majorEastAsia" w:eastAsiaTheme="majorEastAsia" w:cstheme="majorEastAsia"/>
          <w:b/>
          <w:bCs/>
          <w:color w:val="auto"/>
          <w:sz w:val="24"/>
          <w:szCs w:val="24"/>
          <w:highlight w:val="none"/>
        </w:rPr>
        <w:t>c.以上材料须加盖单位公章，投标人需将投标文件按上述顺序装订成一整册，请投标人编制投标文件的目录及页码。</w:t>
      </w:r>
    </w:p>
    <w:p w14:paraId="538EA60F">
      <w:pPr>
        <w:pStyle w:val="5"/>
        <w:rPr>
          <w:color w:val="auto"/>
          <w:highlight w:val="none"/>
        </w:rPr>
      </w:pPr>
      <w:bookmarkStart w:id="88" w:name="_Toc26745"/>
      <w:r>
        <w:rPr>
          <w:rFonts w:hint="eastAsia"/>
          <w:color w:val="auto"/>
          <w:highlight w:val="none"/>
        </w:rPr>
        <w:t>14、投标文件的语言及计量</w:t>
      </w:r>
      <w:bookmarkEnd w:id="88"/>
    </w:p>
    <w:p w14:paraId="228578E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14:paraId="757BD52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14:paraId="2AAD7C48">
      <w:pPr>
        <w:pStyle w:val="5"/>
        <w:rPr>
          <w:color w:val="auto"/>
          <w:highlight w:val="none"/>
        </w:rPr>
      </w:pPr>
      <w:bookmarkStart w:id="89" w:name="_Toc10847"/>
      <w:r>
        <w:rPr>
          <w:rFonts w:hint="eastAsia"/>
          <w:color w:val="auto"/>
          <w:highlight w:val="none"/>
        </w:rPr>
        <w:t>15、投标报价</w:t>
      </w:r>
      <w:bookmarkEnd w:id="89"/>
    </w:p>
    <w:p w14:paraId="5C85AFB2">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w:t>
      </w:r>
      <w:r>
        <w:rPr>
          <w:rFonts w:hint="eastAsia" w:asciiTheme="majorEastAsia" w:hAnsiTheme="majorEastAsia" w:eastAsiaTheme="majorEastAsia" w:cstheme="majorEastAsia"/>
          <w:color w:val="auto"/>
          <w:sz w:val="24"/>
          <w:szCs w:val="24"/>
          <w:highlight w:val="none"/>
        </w:rPr>
        <w:t>应为所投产品的单价报价，每</w:t>
      </w:r>
      <w:r>
        <w:rPr>
          <w:rFonts w:hint="eastAsia" w:asciiTheme="majorEastAsia" w:hAnsiTheme="majorEastAsia" w:eastAsiaTheme="majorEastAsia" w:cstheme="majorEastAsia"/>
          <w:color w:val="auto"/>
          <w:sz w:val="24"/>
          <w:szCs w:val="24"/>
          <w:highlight w:val="none"/>
        </w:rPr>
        <w:t>个产品只允许一个报价</w:t>
      </w:r>
      <w:r>
        <w:rPr>
          <w:rFonts w:hint="eastAsia" w:asciiTheme="majorEastAsia" w:hAnsiTheme="majorEastAsia" w:eastAsiaTheme="majorEastAsia" w:cstheme="majorEastAsia"/>
          <w:bCs/>
          <w:color w:val="auto"/>
          <w:sz w:val="24"/>
          <w:szCs w:val="24"/>
          <w:highlight w:val="none"/>
        </w:rPr>
        <w:t>，否则视为有选择性报价，按无效标处理</w:t>
      </w:r>
      <w:r>
        <w:rPr>
          <w:rFonts w:hint="eastAsia" w:asciiTheme="majorEastAsia" w:hAnsiTheme="majorEastAsia" w:eastAsiaTheme="majorEastAsia" w:cstheme="majorEastAsia"/>
          <w:color w:val="auto"/>
          <w:sz w:val="24"/>
          <w:szCs w:val="24"/>
          <w:highlight w:val="none"/>
        </w:rPr>
        <w:t>。</w:t>
      </w:r>
    </w:p>
    <w:p w14:paraId="0FB21BD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14:paraId="3EE25787">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14:paraId="0C44A2C6">
      <w:pPr>
        <w:pStyle w:val="5"/>
        <w:rPr>
          <w:color w:val="auto"/>
          <w:highlight w:val="none"/>
        </w:rPr>
      </w:pPr>
      <w:bookmarkStart w:id="90" w:name="_Toc11872"/>
      <w:r>
        <w:rPr>
          <w:rFonts w:hint="eastAsia"/>
          <w:color w:val="auto"/>
          <w:highlight w:val="none"/>
        </w:rPr>
        <w:t>16、投标文件的有效期</w:t>
      </w:r>
      <w:bookmarkEnd w:id="90"/>
    </w:p>
    <w:p w14:paraId="40253968">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14:paraId="6F181C73">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14:paraId="0B086789">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14:paraId="5C789AB4">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14:paraId="19D3E47A">
      <w:pPr>
        <w:pStyle w:val="5"/>
        <w:rPr>
          <w:color w:val="auto"/>
          <w:highlight w:val="none"/>
        </w:rPr>
      </w:pPr>
      <w:bookmarkStart w:id="91" w:name="_Toc2098"/>
      <w:r>
        <w:rPr>
          <w:rFonts w:hint="eastAsia"/>
          <w:color w:val="auto"/>
          <w:highlight w:val="none"/>
        </w:rPr>
        <w:t>17、投标保证金</w:t>
      </w:r>
      <w:bookmarkEnd w:id="91"/>
    </w:p>
    <w:p w14:paraId="70F0E42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14:paraId="646E739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14:paraId="7C55D27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14:paraId="0377A17B">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采购代理机构应当自中标通知书发出之日起5个工作日内退还未中标单位的投标保证金，自政府采购合同签订之日起5个工作日内退还中标单位的投标保证金。但因投标人自身原因导致无法及时退还的除外。</w:t>
      </w:r>
    </w:p>
    <w:p w14:paraId="1F7AB08C">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14:paraId="40D39B90">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14:paraId="1103BFB4">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14:paraId="57DE0E71">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14:paraId="7CDCEBC6">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14:paraId="424E0C42">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（5）法律法规规定的其他不予退还的情形。</w:t>
      </w:r>
    </w:p>
    <w:p w14:paraId="4739073C">
      <w:pPr>
        <w:pStyle w:val="5"/>
        <w:rPr>
          <w:rFonts w:asciiTheme="majorEastAsia" w:hAnsiTheme="majorEastAsia" w:eastAsiaTheme="majorEastAsia" w:cstheme="majorEastAsia"/>
          <w:color w:val="auto"/>
          <w:sz w:val="24"/>
          <w:szCs w:val="24"/>
          <w:highlight w:val="none"/>
        </w:rPr>
      </w:pPr>
      <w:bookmarkStart w:id="92" w:name="_Toc16494"/>
      <w:r>
        <w:rPr>
          <w:rFonts w:hint="eastAsia" w:asciiTheme="majorEastAsia" w:hAnsiTheme="majorEastAsia" w:eastAsiaTheme="majorEastAsia" w:cstheme="majorEastAsia"/>
          <w:color w:val="auto"/>
          <w:sz w:val="24"/>
          <w:szCs w:val="24"/>
          <w:highlight w:val="none"/>
        </w:rPr>
        <w:t>18、投标文件</w:t>
      </w:r>
      <w:r>
        <w:rPr>
          <w:rStyle w:val="88"/>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92"/>
      <w:r>
        <w:rPr>
          <w:rFonts w:hint="eastAsia" w:asciiTheme="majorEastAsia" w:hAnsiTheme="majorEastAsia" w:eastAsiaTheme="majorEastAsia" w:cstheme="majorEastAsia"/>
          <w:color w:val="auto"/>
          <w:sz w:val="24"/>
          <w:szCs w:val="24"/>
          <w:highlight w:val="none"/>
        </w:rPr>
        <w:t>（标后提供纸质版投标文件具体要求）</w:t>
      </w:r>
    </w:p>
    <w:p w14:paraId="71D758AB">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14:paraId="6D718A1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18.2投标人递交的纸质投标文件包括“正本”一份、“副本”二份。</w:t>
      </w:r>
    </w:p>
    <w:p w14:paraId="37CB5279">
      <w:pPr>
        <w:adjustRightInd w:val="0"/>
        <w:snapToGrid w:val="0"/>
        <w:spacing w:line="500" w:lineRule="exact"/>
        <w:ind w:firstLine="482"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14:paraId="0E27B5C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14:paraId="2474D07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14:paraId="306DF172">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14:paraId="04D46D3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93" w:name="_Toc233618975"/>
      <w:bookmarkStart w:id="94" w:name="_Toc86216991"/>
      <w:r>
        <w:rPr>
          <w:rFonts w:hint="eastAsia" w:asciiTheme="majorEastAsia" w:hAnsiTheme="majorEastAsia" w:eastAsiaTheme="majorEastAsia" w:cstheme="majorEastAsia"/>
          <w:b/>
          <w:color w:val="auto"/>
          <w:sz w:val="24"/>
          <w:szCs w:val="24"/>
          <w:highlight w:val="none"/>
        </w:rPr>
        <w:t>U盘和1份电子版光盘中须包含投标文件的全部内容，格式为WORD版和签章后的投标文件正本扫描件PDF版两种。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光盘上须注明投标人名称及所投项目及内容。光盘上的内容应与投标人纸制投标文件一致。</w:t>
      </w:r>
    </w:p>
    <w:p w14:paraId="646DD547">
      <w:pPr>
        <w:adjustRightInd w:val="0"/>
        <w:snapToGrid w:val="0"/>
        <w:spacing w:line="500" w:lineRule="exact"/>
        <w:ind w:firstLine="42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18.7投</w:t>
      </w:r>
      <w:bookmarkEnd w:id="93"/>
      <w:bookmarkEnd w:id="94"/>
      <w:r>
        <w:rPr>
          <w:rFonts w:hint="eastAsia" w:asciiTheme="majorEastAsia" w:hAnsiTheme="majorEastAsia" w:eastAsiaTheme="majorEastAsia" w:cstheme="majorEastAsia"/>
          <w:b/>
          <w:bCs/>
          <w:color w:val="auto"/>
          <w:sz w:val="24"/>
          <w:szCs w:val="24"/>
          <w:highlight w:val="none"/>
        </w:rPr>
        <w:t>标人应在投标文件封面上列明项目名称及编号。</w:t>
      </w:r>
    </w:p>
    <w:p w14:paraId="649BF4E2">
      <w:pPr>
        <w:pStyle w:val="5"/>
        <w:rPr>
          <w:color w:val="auto"/>
          <w:highlight w:val="none"/>
        </w:rPr>
      </w:pPr>
      <w:bookmarkStart w:id="95" w:name="_Toc8464"/>
      <w:r>
        <w:rPr>
          <w:rFonts w:hint="eastAsia"/>
          <w:color w:val="auto"/>
          <w:highlight w:val="none"/>
        </w:rPr>
        <w:t>19、投标文件的包装、递交、修改和撤回</w:t>
      </w:r>
      <w:bookmarkEnd w:id="95"/>
    </w:p>
    <w:p w14:paraId="4E0E781D">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w:t>
      </w:r>
      <w:r>
        <w:rPr>
          <w:rFonts w:hint="eastAsia" w:asciiTheme="majorEastAsia" w:hAnsiTheme="majorEastAsia" w:eastAsiaTheme="majorEastAsia" w:cstheme="majorEastAsia"/>
          <w:b/>
          <w:bCs/>
          <w:color w:val="auto"/>
          <w:sz w:val="24"/>
          <w:szCs w:val="24"/>
          <w:highlight w:val="none"/>
        </w:rPr>
        <w:t>投标人应将纸质版投标文件、电子文件（1份光盘，1份U盘）分别密封包装、递交，包装封面上应注明“投标文件”、“电子文件”及投标人名称、项目名称、项目编号及内容及“开标时启封”字样，并加盖投标人公章。</w:t>
      </w:r>
      <w:r>
        <w:rPr>
          <w:rFonts w:hint="eastAsia" w:asciiTheme="majorEastAsia" w:hAnsiTheme="majorEastAsia" w:eastAsiaTheme="majorEastAsia" w:cstheme="majorEastAsia"/>
          <w:color w:val="auto"/>
          <w:sz w:val="24"/>
          <w:szCs w:val="24"/>
          <w:highlight w:val="none"/>
        </w:rPr>
        <w:t>（本项目不适用）</w:t>
      </w:r>
    </w:p>
    <w:p w14:paraId="1C22CD99">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19.2如果投标文件的包装没有按上述规定密封并加写标志，采购人或采购代理机构将拒绝接收。</w:t>
      </w:r>
      <w:r>
        <w:rPr>
          <w:rFonts w:hint="eastAsia" w:asciiTheme="majorEastAsia" w:hAnsiTheme="majorEastAsia" w:eastAsiaTheme="majorEastAsia" w:cstheme="majorEastAsia"/>
          <w:color w:val="auto"/>
          <w:sz w:val="24"/>
          <w:szCs w:val="24"/>
          <w:highlight w:val="none"/>
        </w:rPr>
        <w:t>（本项目不适用）</w:t>
      </w:r>
    </w:p>
    <w:p w14:paraId="7E3630FB">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14:paraId="00021B8D">
      <w:pPr>
        <w:pStyle w:val="199"/>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14:paraId="6BE7A831">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19.4.1在投标文件递交截止时间以后发送至指定邮箱的投标文件；</w:t>
      </w:r>
    </w:p>
    <w:p w14:paraId="312C53F1">
      <w:pPr>
        <w:pStyle w:val="5"/>
        <w:rPr>
          <w:color w:val="auto"/>
          <w:highlight w:val="none"/>
        </w:rPr>
      </w:pPr>
      <w:bookmarkStart w:id="96" w:name="_Toc5085"/>
      <w:r>
        <w:rPr>
          <w:rFonts w:hint="eastAsia"/>
          <w:color w:val="auto"/>
          <w:highlight w:val="none"/>
        </w:rPr>
        <w:t>20、投标截止期</w:t>
      </w:r>
      <w:bookmarkEnd w:id="96"/>
    </w:p>
    <w:p w14:paraId="0C9D1ACC">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14:paraId="0219BA36">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14:paraId="300962A4">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14:paraId="7319E9D2">
      <w:pPr>
        <w:pStyle w:val="5"/>
        <w:rPr>
          <w:color w:val="auto"/>
          <w:highlight w:val="none"/>
        </w:rPr>
      </w:pPr>
      <w:bookmarkStart w:id="97" w:name="_Toc11084"/>
      <w:r>
        <w:rPr>
          <w:rFonts w:hint="eastAsia"/>
          <w:color w:val="auto"/>
          <w:highlight w:val="none"/>
        </w:rPr>
        <w:t>21、投标无效的情形</w:t>
      </w:r>
      <w:bookmarkEnd w:id="97"/>
    </w:p>
    <w:p w14:paraId="442C0FA1">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14:paraId="69607485">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14:paraId="3462F4C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14:paraId="53551D5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14:paraId="035311B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14:paraId="24DB1FB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14:paraId="055BF2C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14:paraId="337E1B4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21.6投标人的报价明显低于其他通过符合性审查投标人的报价（达到符合异常低价认定的情形），有可能影响产品质量或者不能诚信履约的，投标人又不能在规定时间内作出合理说明或提供相关证明材料；</w:t>
      </w:r>
    </w:p>
    <w:p w14:paraId="07E9623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以赠送方式投标的、提供两个投标方案或两个报价的；</w:t>
      </w:r>
    </w:p>
    <w:p w14:paraId="1F698F4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14:paraId="2FAA729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98" w:name="_Toc12370"/>
      <w:bookmarkStart w:id="99" w:name="_Toc19368"/>
      <w:r>
        <w:rPr>
          <w:rFonts w:hint="eastAsia" w:asciiTheme="majorEastAsia" w:hAnsiTheme="majorEastAsia" w:eastAsiaTheme="majorEastAsia" w:cstheme="majorEastAsia"/>
          <w:color w:val="auto"/>
          <w:sz w:val="24"/>
          <w:szCs w:val="24"/>
          <w:highlight w:val="none"/>
        </w:rPr>
        <w:t>21.9 投标报价超出最高限价的；</w:t>
      </w:r>
    </w:p>
    <w:p w14:paraId="38FA8529">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21.10投标人不能在规定时间内提供原件核实或提供相关证明材料；</w:t>
      </w:r>
    </w:p>
    <w:p w14:paraId="7DD35739">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21.11不符合法律、法规和本招标文件明确规定的其他实质性要求的。</w:t>
      </w:r>
    </w:p>
    <w:p w14:paraId="2FC6240A">
      <w:pPr>
        <w:pStyle w:val="4"/>
        <w:rPr>
          <w:color w:val="auto"/>
          <w:highlight w:val="none"/>
        </w:rPr>
      </w:pPr>
      <w:r>
        <w:rPr>
          <w:rFonts w:hint="eastAsia"/>
          <w:color w:val="auto"/>
          <w:highlight w:val="none"/>
        </w:rPr>
        <w:t>四、开标</w:t>
      </w:r>
      <w:bookmarkEnd w:id="98"/>
      <w:bookmarkEnd w:id="99"/>
    </w:p>
    <w:p w14:paraId="5F6150B3">
      <w:pPr>
        <w:pStyle w:val="5"/>
        <w:rPr>
          <w:color w:val="auto"/>
          <w:highlight w:val="none"/>
        </w:rPr>
      </w:pPr>
      <w:bookmarkStart w:id="100" w:name="_Toc9510638"/>
      <w:bookmarkStart w:id="101" w:name="_Toc21515"/>
      <w:r>
        <w:rPr>
          <w:rFonts w:hint="eastAsia"/>
          <w:color w:val="auto"/>
          <w:highlight w:val="none"/>
        </w:rPr>
        <w:t>22、开</w:t>
      </w:r>
      <w:bookmarkEnd w:id="100"/>
      <w:r>
        <w:rPr>
          <w:rFonts w:hint="eastAsia"/>
          <w:color w:val="auto"/>
          <w:highlight w:val="none"/>
        </w:rPr>
        <w:t>标准备</w:t>
      </w:r>
      <w:bookmarkEnd w:id="101"/>
    </w:p>
    <w:p w14:paraId="3361BE4B">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现场开标</w:t>
      </w:r>
    </w:p>
    <w:p w14:paraId="47CDFFDD">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14:paraId="44DD991A">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授权委托书原件，投标人代表未对开标结果签字确认或者拒绝签字确认的，不影响评标过程。</w:t>
      </w:r>
    </w:p>
    <w:p w14:paraId="04474FCB">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22.2电子递交投标文件</w:t>
      </w:r>
    </w:p>
    <w:p w14:paraId="3ECCCDF4">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（1）使用电子递交投标文件的，投标人应当在规定的时间将电子版投标文件发送至指定邮箱，并在规定时间内提供解密密码。</w:t>
      </w:r>
    </w:p>
    <w:p w14:paraId="5205CDC0">
      <w:pPr>
        <w:pStyle w:val="5"/>
        <w:rPr>
          <w:color w:val="auto"/>
          <w:highlight w:val="none"/>
        </w:rPr>
      </w:pPr>
      <w:bookmarkStart w:id="102" w:name="_Toc26159"/>
      <w:r>
        <w:rPr>
          <w:rFonts w:hint="eastAsia"/>
          <w:color w:val="auto"/>
          <w:highlight w:val="none"/>
        </w:rPr>
        <w:t>23、开标程序</w:t>
      </w:r>
      <w:bookmarkEnd w:id="102"/>
    </w:p>
    <w:p w14:paraId="43B31CDC">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23.1现场开标</w:t>
      </w:r>
    </w:p>
    <w:p w14:paraId="49670328">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开标会由采购代理机构主持，主持人宣布开标会议开始；</w:t>
      </w:r>
    </w:p>
    <w:p w14:paraId="0FF0EA34">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主持人介绍参加开标会的投标人名单；</w:t>
      </w:r>
    </w:p>
    <w:p w14:paraId="28558A1C">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103" w:name="_Toc14026"/>
      <w:r>
        <w:rPr>
          <w:rFonts w:hint="eastAsia" w:asciiTheme="majorEastAsia" w:hAnsiTheme="majorEastAsia" w:eastAsiaTheme="majorEastAsia" w:cstheme="majorEastAsia"/>
          <w:bCs/>
          <w:color w:val="auto"/>
          <w:sz w:val="24"/>
          <w:szCs w:val="24"/>
          <w:highlight w:val="none"/>
        </w:rPr>
        <w:t>23.1.3投标人法定代表人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或其授权代表人，及采购人监督代表、公证员/律师（如有）检查投标文件密封的完整性并签字确认；</w:t>
      </w:r>
    </w:p>
    <w:p w14:paraId="74A0170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23.1.4开标时，核对授权代表身份后清点投标文件的正副本及电子文件，然后按递交标书的顺序进行唱标，采购人或采购代理机构工作人员即当众拆封，宣读《开标一览表》的内容并做记录；</w:t>
      </w:r>
    </w:p>
    <w:p w14:paraId="3C9F8277">
      <w:pPr>
        <w:pStyle w:val="199"/>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23.1.5开标后投标人代表当场对开标结果进行签字确认，投标人代表未在开标记录上签字的，均视为对开标结果予以默认；</w:t>
      </w:r>
    </w:p>
    <w:p w14:paraId="4E5CE7DF">
      <w:pPr>
        <w:adjustRightInd w:val="0"/>
        <w:snapToGrid w:val="0"/>
        <w:spacing w:line="500" w:lineRule="exact"/>
        <w:ind w:firstLine="523" w:firstLineChars="218"/>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23.1.6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14:paraId="5D382B47">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23.2电子递交投标文件</w:t>
      </w:r>
    </w:p>
    <w:p w14:paraId="4EE137C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开标会由采购代理机构主持，主持人宣布开标会议开始；</w:t>
      </w:r>
    </w:p>
    <w:p w14:paraId="3124D5B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23.1.2 主持人在“标前会议确认表”中介绍参加开标会的投标人名单、评标委员会的组成，评标程序等内容；</w:t>
      </w:r>
    </w:p>
    <w:p w14:paraId="6D275E7D">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23.1.3主持人制作“开标记录表”，记录投标人名称、商务报价、项目负责人等重要内容；</w:t>
      </w:r>
    </w:p>
    <w:p w14:paraId="1A60C42B">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23.1.4主持人将“标前会议确认表”、“开标记录表”发送至各投标人邮箱，由投标人代表进行签字确认，投标人代表未在“标前会议确认表”、“开标记录表”上签字的，均视为对开标结果予以默认；</w:t>
      </w:r>
    </w:p>
    <w:p w14:paraId="0D5268AF">
      <w:pPr>
        <w:pStyle w:val="199"/>
        <w:adjustRightInd w:val="0"/>
        <w:snapToGrid w:val="0"/>
        <w:spacing w:before="0" w:line="500" w:lineRule="exact"/>
        <w:ind w:firstLine="480"/>
        <w:rPr>
          <w:rFonts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23.1.5投标人代表对开标过程和开标记录有异议，以及认为采购人、采购代理机构相关工作人员有需要回避的情形的，应在</w:t>
      </w:r>
      <w:r>
        <w:rPr>
          <w:rFonts w:hint="eastAsia" w:asciiTheme="majorEastAsia" w:hAnsiTheme="majorEastAsia" w:eastAsiaTheme="majorEastAsia" w:cstheme="majorEastAsia"/>
          <w:b/>
          <w:color w:val="auto"/>
          <w:szCs w:val="24"/>
          <w:highlight w:val="none"/>
        </w:rPr>
        <w:t>收到表格起10分钟内提出询问或者回避申请</w:t>
      </w:r>
      <w:r>
        <w:rPr>
          <w:rFonts w:hint="eastAsia" w:asciiTheme="majorEastAsia" w:hAnsiTheme="majorEastAsia" w:eastAsiaTheme="majorEastAsia" w:cstheme="majorEastAsia"/>
          <w:bCs/>
          <w:color w:val="auto"/>
          <w:szCs w:val="24"/>
          <w:highlight w:val="none"/>
        </w:rPr>
        <w:t>，采购人、采购代理机构将对投标人代表提出的询问或者回避申请及时处理。</w:t>
      </w:r>
    </w:p>
    <w:p w14:paraId="2D86CADB">
      <w:pPr>
        <w:pStyle w:val="5"/>
        <w:rPr>
          <w:color w:val="auto"/>
          <w:highlight w:val="none"/>
        </w:rPr>
      </w:pPr>
      <w:r>
        <w:rPr>
          <w:rFonts w:hint="eastAsia"/>
          <w:color w:val="auto"/>
          <w:highlight w:val="none"/>
        </w:rPr>
        <w:t>24、资格审查</w:t>
      </w:r>
      <w:bookmarkEnd w:id="103"/>
    </w:p>
    <w:p w14:paraId="2720FFC3">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104" w:name="_Toc21778"/>
      <w:bookmarkStart w:id="105"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14:paraId="3800AB44">
      <w:pPr>
        <w:pStyle w:val="30"/>
        <w:rPr>
          <w:color w:val="auto"/>
          <w:highlight w:val="none"/>
        </w:rPr>
      </w:pPr>
    </w:p>
    <w:tbl>
      <w:tblPr>
        <w:tblStyle w:val="39"/>
        <w:tblpPr w:leftFromText="180" w:rightFromText="180" w:vertAnchor="text" w:horzAnchor="page" w:tblpX="1274" w:tblpY="80"/>
        <w:tblOverlap w:val="never"/>
        <w:tblW w:w="10113"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790"/>
        <w:gridCol w:w="9323"/>
      </w:tblGrid>
      <w:tr w14:paraId="181B2BD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349" w:hRule="atLeast"/>
        </w:trPr>
        <w:tc>
          <w:tcPr>
            <w:tcW w:w="79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0CB717DD">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9323" w:type="dxa"/>
            <w:tcBorders>
              <w:top w:val="single" w:color="auto" w:sz="8" w:space="0"/>
              <w:left w:val="nil"/>
              <w:bottom w:val="single" w:color="auto" w:sz="8" w:space="0"/>
              <w:right w:val="single" w:color="auto" w:sz="8" w:space="0"/>
            </w:tcBorders>
            <w:tcMar>
              <w:left w:w="108" w:type="dxa"/>
              <w:right w:w="108" w:type="dxa"/>
            </w:tcMar>
            <w:vAlign w:val="center"/>
          </w:tcPr>
          <w:p w14:paraId="671B29B0">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6EA3D0C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86"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656CB376">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9323" w:type="dxa"/>
            <w:tcBorders>
              <w:top w:val="nil"/>
              <w:left w:val="nil"/>
              <w:bottom w:val="single" w:color="auto" w:sz="8" w:space="0"/>
              <w:right w:val="single" w:color="auto" w:sz="8" w:space="0"/>
            </w:tcBorders>
            <w:tcMar>
              <w:left w:w="108" w:type="dxa"/>
              <w:right w:w="108" w:type="dxa"/>
            </w:tcMar>
            <w:vAlign w:val="center"/>
          </w:tcPr>
          <w:p w14:paraId="162D9B19">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14:paraId="48FB346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80" w:hRule="atLeast"/>
        </w:trPr>
        <w:tc>
          <w:tcPr>
            <w:tcW w:w="790" w:type="dxa"/>
            <w:tcBorders>
              <w:top w:val="nil"/>
              <w:left w:val="single" w:color="auto" w:sz="8" w:space="0"/>
              <w:right w:val="single" w:color="auto" w:sz="8" w:space="0"/>
            </w:tcBorders>
            <w:tcMar>
              <w:left w:w="108" w:type="dxa"/>
              <w:right w:w="108" w:type="dxa"/>
            </w:tcMar>
            <w:vAlign w:val="center"/>
          </w:tcPr>
          <w:p w14:paraId="1D8CE25F">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9323" w:type="dxa"/>
            <w:tcBorders>
              <w:top w:val="nil"/>
              <w:left w:val="nil"/>
              <w:bottom w:val="single" w:color="auto" w:sz="8" w:space="0"/>
              <w:right w:val="single" w:color="auto" w:sz="8" w:space="0"/>
            </w:tcBorders>
            <w:tcMar>
              <w:left w:w="108" w:type="dxa"/>
              <w:right w:w="108" w:type="dxa"/>
            </w:tcMar>
            <w:vAlign w:val="center"/>
          </w:tcPr>
          <w:p w14:paraId="40D51108">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与招标人存在利害关系可能影响招标公正性的法人、其他组织或者个人，不得参加同一标段投标或者未划分标段的同一招标不得参加投标。</w:t>
            </w:r>
          </w:p>
        </w:tc>
      </w:tr>
      <w:tr w14:paraId="2A7555F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5" w:hRule="atLeast"/>
        </w:trPr>
        <w:tc>
          <w:tcPr>
            <w:tcW w:w="790" w:type="dxa"/>
            <w:tcBorders>
              <w:left w:val="single" w:color="auto" w:sz="8" w:space="0"/>
              <w:right w:val="single" w:color="auto" w:sz="8" w:space="0"/>
            </w:tcBorders>
            <w:tcMar>
              <w:left w:w="108" w:type="dxa"/>
              <w:right w:w="108" w:type="dxa"/>
            </w:tcMar>
            <w:vAlign w:val="center"/>
          </w:tcPr>
          <w:p w14:paraId="68170F3D">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3" w:type="dxa"/>
            <w:tcBorders>
              <w:top w:val="nil"/>
              <w:left w:val="nil"/>
              <w:bottom w:val="single" w:color="auto" w:sz="8" w:space="0"/>
              <w:right w:val="single" w:color="auto" w:sz="8" w:space="0"/>
            </w:tcBorders>
            <w:tcMar>
              <w:left w:w="108" w:type="dxa"/>
              <w:right w:w="108" w:type="dxa"/>
            </w:tcMar>
            <w:vAlign w:val="center"/>
          </w:tcPr>
          <w:p w14:paraId="57B0889A">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14:paraId="0287C56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421" w:hRule="atLeast"/>
        </w:trPr>
        <w:tc>
          <w:tcPr>
            <w:tcW w:w="790" w:type="dxa"/>
            <w:tcBorders>
              <w:left w:val="single" w:color="auto" w:sz="8" w:space="0"/>
              <w:bottom w:val="single" w:color="auto" w:sz="8" w:space="0"/>
              <w:right w:val="single" w:color="auto" w:sz="8" w:space="0"/>
            </w:tcBorders>
            <w:tcMar>
              <w:left w:w="108" w:type="dxa"/>
              <w:right w:w="108" w:type="dxa"/>
            </w:tcMar>
            <w:vAlign w:val="center"/>
          </w:tcPr>
          <w:p w14:paraId="726E916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9323" w:type="dxa"/>
            <w:tcBorders>
              <w:top w:val="nil"/>
              <w:left w:val="nil"/>
              <w:bottom w:val="single" w:color="auto" w:sz="8" w:space="0"/>
              <w:right w:val="single" w:color="auto" w:sz="8" w:space="0"/>
            </w:tcBorders>
            <w:tcMar>
              <w:left w:w="108" w:type="dxa"/>
              <w:right w:w="108" w:type="dxa"/>
            </w:tcMar>
            <w:vAlign w:val="center"/>
          </w:tcPr>
          <w:p w14:paraId="16CE2079">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投标单位未被列入失信被执行人、重大税收违法失信主体、政府采购严重违法失信行为记录名单。</w:t>
            </w:r>
          </w:p>
          <w:p w14:paraId="7CC09101">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注：开标当天采购代理机构将通过“信用中国”网站（www.creditchina.gov.cn）和中国政府采购网（www.ccgp.gov.cn）对投标人的信用信息进行查询，查询截止时间点即投标截止时间。</w:t>
            </w:r>
          </w:p>
        </w:tc>
      </w:tr>
      <w:tr w14:paraId="19D659E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71" w:hRule="atLeast"/>
        </w:trPr>
        <w:tc>
          <w:tcPr>
            <w:tcW w:w="790" w:type="dxa"/>
            <w:tcBorders>
              <w:left w:val="single" w:color="auto" w:sz="8" w:space="0"/>
              <w:bottom w:val="single" w:color="auto" w:sz="8" w:space="0"/>
              <w:right w:val="single" w:color="auto" w:sz="8" w:space="0"/>
            </w:tcBorders>
            <w:shd w:val="clear" w:color="auto" w:fill="auto"/>
            <w:tcMar>
              <w:left w:w="108" w:type="dxa"/>
              <w:right w:w="108" w:type="dxa"/>
            </w:tcMar>
            <w:vAlign w:val="center"/>
          </w:tcPr>
          <w:p w14:paraId="2DACEBF1">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w:t>
            </w:r>
          </w:p>
        </w:tc>
        <w:tc>
          <w:tcPr>
            <w:tcW w:w="9323" w:type="dxa"/>
            <w:tcBorders>
              <w:top w:val="nil"/>
              <w:left w:val="nil"/>
              <w:bottom w:val="single" w:color="auto" w:sz="8" w:space="0"/>
              <w:right w:val="single" w:color="auto" w:sz="8" w:space="0"/>
            </w:tcBorders>
            <w:tcMar>
              <w:left w:w="108" w:type="dxa"/>
              <w:right w:w="108" w:type="dxa"/>
            </w:tcMar>
            <w:vAlign w:val="center"/>
          </w:tcPr>
          <w:p w14:paraId="5DE44921">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本项目专门面向中小企业采购，供应商需按照采购文件的要求提供相应的《中小企业声明函》。</w:t>
            </w:r>
          </w:p>
        </w:tc>
      </w:tr>
      <w:tr w14:paraId="6450584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F43770A">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w:t>
            </w:r>
          </w:p>
        </w:tc>
        <w:tc>
          <w:tcPr>
            <w:tcW w:w="9323" w:type="dxa"/>
            <w:tcBorders>
              <w:top w:val="nil"/>
              <w:left w:val="nil"/>
              <w:bottom w:val="single" w:color="auto" w:sz="8" w:space="0"/>
              <w:right w:val="single" w:color="auto" w:sz="8" w:space="0"/>
            </w:tcBorders>
            <w:tcMar>
              <w:left w:w="108" w:type="dxa"/>
              <w:right w:w="108" w:type="dxa"/>
            </w:tcMar>
            <w:vAlign w:val="center"/>
          </w:tcPr>
          <w:p w14:paraId="6A3A9418">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按招标文件要求缴纳了投标保证金</w:t>
            </w:r>
            <w:r>
              <w:rPr>
                <w:rFonts w:hint="eastAsia" w:ascii="宋体" w:hAnsi="宋体" w:cs="宋体"/>
                <w:color w:val="auto"/>
                <w:sz w:val="24"/>
                <w:szCs w:val="24"/>
                <w:highlight w:val="none"/>
              </w:rPr>
              <w:t>（如有）</w:t>
            </w:r>
            <w:r>
              <w:rPr>
                <w:rFonts w:hint="eastAsia" w:ascii="宋体" w:hAnsi="宋体" w:cs="宋体"/>
                <w:color w:val="auto"/>
                <w:sz w:val="24"/>
                <w:szCs w:val="24"/>
                <w:highlight w:val="none"/>
              </w:rPr>
              <w:t>。</w:t>
            </w:r>
          </w:p>
        </w:tc>
      </w:tr>
      <w:tr w14:paraId="6E5FFFB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7957636C">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w:t>
            </w:r>
          </w:p>
        </w:tc>
        <w:tc>
          <w:tcPr>
            <w:tcW w:w="9323" w:type="dxa"/>
            <w:tcBorders>
              <w:top w:val="nil"/>
              <w:left w:val="nil"/>
              <w:bottom w:val="single" w:color="auto" w:sz="8" w:space="0"/>
              <w:right w:val="single" w:color="auto" w:sz="8" w:space="0"/>
            </w:tcBorders>
            <w:tcMar>
              <w:left w:w="108" w:type="dxa"/>
              <w:right w:w="108" w:type="dxa"/>
            </w:tcMar>
            <w:vAlign w:val="center"/>
          </w:tcPr>
          <w:p w14:paraId="288E18F4">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tc>
      </w:tr>
      <w:tr w14:paraId="4E1361B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909" w:hRule="atLeast"/>
        </w:trPr>
        <w:tc>
          <w:tcPr>
            <w:tcW w:w="10113" w:type="dxa"/>
            <w:gridSpan w:val="2"/>
            <w:tcBorders>
              <w:top w:val="nil"/>
              <w:left w:val="single" w:color="auto" w:sz="8" w:space="0"/>
              <w:bottom w:val="single" w:color="auto" w:sz="8" w:space="0"/>
              <w:right w:val="single" w:color="auto" w:sz="8" w:space="0"/>
            </w:tcBorders>
            <w:tcMar>
              <w:left w:w="108" w:type="dxa"/>
              <w:right w:w="108" w:type="dxa"/>
            </w:tcMar>
            <w:vAlign w:val="center"/>
          </w:tcPr>
          <w:p w14:paraId="73E1D65C">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备注：1.如果资格评审中有一项不满足审查标准的，将认定该投标人不通过资格审查，不得进入下一阶段评审，并且不允许供应商通过修改或撤销其不符合要求的差异或保留，使其成为实质性响应。</w:t>
            </w:r>
          </w:p>
          <w:p w14:paraId="39E98155">
            <w:pPr>
              <w:adjustRightInd w:val="0"/>
              <w:snapToGrid w:val="0"/>
              <w:spacing w:line="400" w:lineRule="exact"/>
              <w:ind w:firstLine="751" w:firstLineChars="313"/>
              <w:rPr>
                <w:rFonts w:ascii="宋体" w:hAnsi="宋体" w:cs="宋体"/>
                <w:color w:val="auto"/>
                <w:sz w:val="24"/>
                <w:szCs w:val="24"/>
                <w:highlight w:val="none"/>
              </w:rPr>
            </w:pPr>
            <w:r>
              <w:rPr>
                <w:rFonts w:hint="eastAsia" w:ascii="宋体" w:hAnsi="宋体" w:cs="宋体"/>
                <w:color w:val="auto"/>
                <w:sz w:val="24"/>
                <w:szCs w:val="24"/>
                <w:highlight w:val="none"/>
              </w:rPr>
              <w:t>2.合格投标人不足3家的，不得评标。</w:t>
            </w:r>
          </w:p>
        </w:tc>
      </w:tr>
    </w:tbl>
    <w:p w14:paraId="58994A8D">
      <w:pPr>
        <w:pStyle w:val="4"/>
        <w:rPr>
          <w:color w:val="auto"/>
          <w:highlight w:val="none"/>
        </w:rPr>
      </w:pPr>
      <w:r>
        <w:rPr>
          <w:rFonts w:hint="eastAsia"/>
          <w:color w:val="auto"/>
          <w:highlight w:val="none"/>
        </w:rPr>
        <w:t>五、评标</w:t>
      </w:r>
      <w:bookmarkEnd w:id="104"/>
      <w:bookmarkEnd w:id="105"/>
    </w:p>
    <w:p w14:paraId="0BCDFA96">
      <w:pPr>
        <w:pStyle w:val="5"/>
        <w:rPr>
          <w:color w:val="auto"/>
          <w:highlight w:val="none"/>
        </w:rPr>
      </w:pPr>
      <w:bookmarkStart w:id="106" w:name="_Toc9510639"/>
      <w:bookmarkStart w:id="107" w:name="_Toc6750"/>
      <w:r>
        <w:rPr>
          <w:rFonts w:hint="eastAsia"/>
          <w:color w:val="auto"/>
          <w:highlight w:val="none"/>
        </w:rPr>
        <w:t>25、组</w:t>
      </w:r>
      <w:bookmarkEnd w:id="106"/>
      <w:r>
        <w:rPr>
          <w:rFonts w:hint="eastAsia"/>
          <w:color w:val="auto"/>
          <w:highlight w:val="none"/>
        </w:rPr>
        <w:t>建评标委员会</w:t>
      </w:r>
      <w:bookmarkEnd w:id="107"/>
    </w:p>
    <w:p w14:paraId="78130D87">
      <w:pPr>
        <w:adjustRightInd w:val="0"/>
        <w:snapToGrid w:val="0"/>
        <w:spacing w:line="360" w:lineRule="auto"/>
        <w:ind w:firstLine="480" w:firstLineChars="200"/>
        <w:rPr>
          <w:rFonts w:ascii="宋体" w:hAnsi="宋体" w:cs="宋体"/>
          <w:color w:val="auto"/>
          <w:sz w:val="24"/>
          <w:szCs w:val="24"/>
          <w:highlight w:val="none"/>
        </w:rPr>
      </w:pPr>
      <w:bookmarkStart w:id="108" w:name="_Toc14527"/>
      <w:r>
        <w:rPr>
          <w:rFonts w:hint="eastAsia" w:asciiTheme="majorEastAsia" w:hAnsiTheme="majorEastAsia" w:eastAsiaTheme="majorEastAsia" w:cstheme="majorEastAsia"/>
          <w:color w:val="auto"/>
          <w:sz w:val="24"/>
          <w:szCs w:val="24"/>
          <w:highlight w:val="none"/>
        </w:rPr>
        <w:t>按《中华人民共和国政府采购法》相关要求，本项目评审专家从专家库中随机抽取的</w:t>
      </w:r>
      <w:r>
        <w:rPr>
          <w:rFonts w:hint="eastAsia" w:asciiTheme="majorEastAsia" w:hAnsiTheme="majorEastAsia" w:eastAsiaTheme="majorEastAsia" w:cstheme="majorEastAsia"/>
          <w:color w:val="auto"/>
          <w:sz w:val="24"/>
          <w:szCs w:val="24"/>
          <w:highlight w:val="none"/>
        </w:rPr>
        <w:t>4名评审专家和1名采购人代表，共5人组成</w:t>
      </w:r>
      <w:r>
        <w:rPr>
          <w:rFonts w:hint="eastAsia" w:asciiTheme="majorEastAsia" w:hAnsiTheme="majorEastAsia" w:eastAsiaTheme="majorEastAsia" w:cstheme="majorEastAsia"/>
          <w:color w:val="auto"/>
          <w:sz w:val="24"/>
          <w:szCs w:val="24"/>
          <w:highlight w:val="none"/>
        </w:rPr>
        <w:t>。</w:t>
      </w:r>
    </w:p>
    <w:p w14:paraId="0DFAE75C">
      <w:pPr>
        <w:pStyle w:val="5"/>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108"/>
    </w:p>
    <w:p w14:paraId="6D8A7CE0">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26.1符合性审查</w:t>
      </w:r>
    </w:p>
    <w:p w14:paraId="74E5900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14:paraId="25D2BFFF">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9"/>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14:paraId="13D7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14:paraId="211C6BAF">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14:paraId="5A5BEE71">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76E1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448037E5">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w:t>
            </w:r>
          </w:p>
        </w:tc>
        <w:tc>
          <w:tcPr>
            <w:tcW w:w="7832" w:type="dxa"/>
            <w:vAlign w:val="center"/>
          </w:tcPr>
          <w:p w14:paraId="05ED2CED">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14:paraId="480D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3B615F19">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w:t>
            </w:r>
          </w:p>
        </w:tc>
        <w:tc>
          <w:tcPr>
            <w:tcW w:w="7832" w:type="dxa"/>
            <w:vAlign w:val="center"/>
          </w:tcPr>
          <w:p w14:paraId="218A0C7D">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14:paraId="516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exact"/>
          <w:jc w:val="center"/>
        </w:trPr>
        <w:tc>
          <w:tcPr>
            <w:tcW w:w="850" w:type="dxa"/>
            <w:vAlign w:val="center"/>
          </w:tcPr>
          <w:p w14:paraId="564C7FB1">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3</w:t>
            </w:r>
          </w:p>
        </w:tc>
        <w:tc>
          <w:tcPr>
            <w:tcW w:w="7832" w:type="dxa"/>
            <w:vAlign w:val="center"/>
          </w:tcPr>
          <w:p w14:paraId="4FCB9D70">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投标报价出现应当启动异常低价投标（响应）审查程序的情形。若有时，</w:t>
            </w:r>
            <w:r>
              <w:rPr>
                <w:rFonts w:ascii="宋体" w:hAnsi="宋体" w:cs="宋体"/>
                <w:color w:val="auto"/>
                <w:sz w:val="24"/>
                <w:szCs w:val="24"/>
                <w:highlight w:val="none"/>
              </w:rPr>
              <w:t>评审委员会启动异常低价投标（响应）审查后，属于</w:t>
            </w:r>
            <w:r>
              <w:rPr>
                <w:rFonts w:hint="eastAsia" w:ascii="宋体" w:hAnsi="宋体" w:cs="宋体"/>
                <w:color w:val="auto"/>
                <w:sz w:val="24"/>
                <w:szCs w:val="24"/>
                <w:highlight w:val="none"/>
              </w:rPr>
              <w:t>“须知前附表第26条”</w:t>
            </w:r>
            <w:r>
              <w:rPr>
                <w:rFonts w:ascii="宋体" w:hAnsi="宋体" w:cs="宋体"/>
                <w:color w:val="auto"/>
                <w:sz w:val="24"/>
                <w:szCs w:val="24"/>
                <w:highlight w:val="none"/>
              </w:rPr>
              <w:t>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1445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exact"/>
          <w:jc w:val="center"/>
        </w:trPr>
        <w:tc>
          <w:tcPr>
            <w:tcW w:w="850" w:type="dxa"/>
            <w:vAlign w:val="center"/>
          </w:tcPr>
          <w:p w14:paraId="7AD747C2">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4</w:t>
            </w:r>
          </w:p>
        </w:tc>
        <w:tc>
          <w:tcPr>
            <w:tcW w:w="7832" w:type="dxa"/>
            <w:vAlign w:val="center"/>
          </w:tcPr>
          <w:p w14:paraId="2FE8E27A">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14:paraId="76E4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exact"/>
          <w:jc w:val="center"/>
        </w:trPr>
        <w:tc>
          <w:tcPr>
            <w:tcW w:w="850" w:type="dxa"/>
            <w:vAlign w:val="center"/>
          </w:tcPr>
          <w:p w14:paraId="3BC3695D">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5</w:t>
            </w:r>
          </w:p>
        </w:tc>
        <w:tc>
          <w:tcPr>
            <w:tcW w:w="7832" w:type="dxa"/>
            <w:vAlign w:val="center"/>
          </w:tcPr>
          <w:p w14:paraId="52ADF6DE">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14:paraId="1875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exact"/>
          <w:jc w:val="center"/>
        </w:trPr>
        <w:tc>
          <w:tcPr>
            <w:tcW w:w="850" w:type="dxa"/>
            <w:vAlign w:val="center"/>
          </w:tcPr>
          <w:p w14:paraId="35328879">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6</w:t>
            </w:r>
          </w:p>
        </w:tc>
        <w:tc>
          <w:tcPr>
            <w:tcW w:w="7832" w:type="dxa"/>
            <w:shd w:val="clear" w:color="auto" w:fill="auto"/>
            <w:vAlign w:val="center"/>
          </w:tcPr>
          <w:p w14:paraId="6EAA5B1A">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14:paraId="62C2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exact"/>
          <w:jc w:val="center"/>
        </w:trPr>
        <w:tc>
          <w:tcPr>
            <w:tcW w:w="850" w:type="dxa"/>
            <w:vAlign w:val="center"/>
          </w:tcPr>
          <w:p w14:paraId="7E9688E0">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7</w:t>
            </w:r>
          </w:p>
        </w:tc>
        <w:tc>
          <w:tcPr>
            <w:tcW w:w="7832" w:type="dxa"/>
            <w:shd w:val="clear" w:color="auto" w:fill="auto"/>
            <w:vAlign w:val="center"/>
          </w:tcPr>
          <w:p w14:paraId="700DF6CD">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14:paraId="1747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4B5437F0">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8</w:t>
            </w:r>
          </w:p>
        </w:tc>
        <w:tc>
          <w:tcPr>
            <w:tcW w:w="7832" w:type="dxa"/>
            <w:shd w:val="clear" w:color="auto" w:fill="auto"/>
            <w:vAlign w:val="center"/>
          </w:tcPr>
          <w:p w14:paraId="78F2D7A3">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14:paraId="2CA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2DF30680">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w:t>
            </w:r>
          </w:p>
        </w:tc>
        <w:tc>
          <w:tcPr>
            <w:tcW w:w="7832" w:type="dxa"/>
            <w:shd w:val="clear" w:color="auto" w:fill="auto"/>
            <w:vAlign w:val="center"/>
          </w:tcPr>
          <w:p w14:paraId="5F4D1F09">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14:paraId="1035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70F0CE2F">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10</w:t>
            </w:r>
          </w:p>
        </w:tc>
        <w:tc>
          <w:tcPr>
            <w:tcW w:w="7832" w:type="dxa"/>
            <w:shd w:val="clear" w:color="auto" w:fill="auto"/>
            <w:vAlign w:val="center"/>
          </w:tcPr>
          <w:p w14:paraId="6122D43D">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14:paraId="2DC8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14:paraId="5DA8BF84">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14:paraId="6CCBB8A8">
      <w:pPr>
        <w:pStyle w:val="4"/>
        <w:spacing w:line="240" w:lineRule="auto"/>
        <w:rPr>
          <w:rFonts w:asciiTheme="majorEastAsia" w:hAnsiTheme="majorEastAsia" w:eastAsiaTheme="majorEastAsia" w:cstheme="majorEastAsia"/>
          <w:b w:val="0"/>
          <w:color w:val="auto"/>
          <w:sz w:val="24"/>
          <w:szCs w:val="24"/>
          <w:highlight w:val="none"/>
        </w:rPr>
      </w:pPr>
    </w:p>
    <w:p w14:paraId="5E780562">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3D736049">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26.2 实质审查与比较</w:t>
      </w:r>
    </w:p>
    <w:p w14:paraId="0E41A8A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26.2.1评标委员会审查投标文件的实质性内容是否符合招标文件的实质性要求。</w:t>
      </w:r>
    </w:p>
    <w:p w14:paraId="07EF401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26.2.2评标委员会将根据投标人的投标文件进行审查、核对,如有疑问,将对投标人进行询标,投标人要向评标委员会澄清有关问题,并最终以书面形式进行答复。</w:t>
      </w:r>
    </w:p>
    <w:p w14:paraId="0079B7A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26.2.3各投标人的技术得分为所有评委的有效评分的算术平均数，由指定专人进行计算复核。</w:t>
      </w:r>
    </w:p>
    <w:p w14:paraId="58863AB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26.2.4采购代理机构工作人员协助评标委员会根据本项目的评分标准计算各投标人的商务报价得分。</w:t>
      </w:r>
    </w:p>
    <w:p w14:paraId="30880E5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26.2.5评标委员会完成评标后,评委对各部分得分汇总,计算出本项目最终得分等。评标委员会按评标原则推荐中标候选人，同时起草评标报告。</w:t>
      </w:r>
    </w:p>
    <w:p w14:paraId="6E9A44CA">
      <w:pPr>
        <w:pStyle w:val="5"/>
        <w:rPr>
          <w:color w:val="auto"/>
          <w:highlight w:val="none"/>
        </w:rPr>
      </w:pPr>
      <w:bookmarkStart w:id="109" w:name="_Toc26304"/>
      <w:r>
        <w:rPr>
          <w:rFonts w:hint="eastAsia"/>
          <w:color w:val="auto"/>
          <w:highlight w:val="none"/>
        </w:rPr>
        <w:t>27、澄清问题的形式</w:t>
      </w:r>
      <w:bookmarkEnd w:id="109"/>
    </w:p>
    <w:p w14:paraId="2F4DF3E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5C924B11">
      <w:pPr>
        <w:pStyle w:val="5"/>
        <w:rPr>
          <w:color w:val="auto"/>
          <w:highlight w:val="none"/>
        </w:rPr>
      </w:pPr>
      <w:bookmarkStart w:id="110" w:name="_Toc1409"/>
      <w:r>
        <w:rPr>
          <w:rFonts w:hint="eastAsia"/>
          <w:color w:val="auto"/>
          <w:highlight w:val="none"/>
        </w:rPr>
        <w:t>28、错误修正</w:t>
      </w:r>
      <w:bookmarkEnd w:id="110"/>
    </w:p>
    <w:p w14:paraId="7356B1D3">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14:paraId="5FF0E60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14:paraId="37B4CC6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14:paraId="2E120739">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14:paraId="04ABE8F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14:paraId="5214AAE9">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14:paraId="7DED976A">
      <w:pPr>
        <w:pStyle w:val="5"/>
        <w:rPr>
          <w:color w:val="auto"/>
          <w:highlight w:val="none"/>
        </w:rPr>
      </w:pPr>
      <w:bookmarkStart w:id="111" w:name="_Toc8797"/>
      <w:r>
        <w:rPr>
          <w:rFonts w:hint="eastAsia"/>
          <w:color w:val="auto"/>
          <w:highlight w:val="none"/>
        </w:rPr>
        <w:t>29、评标原则和评标办法</w:t>
      </w:r>
      <w:bookmarkEnd w:id="111"/>
    </w:p>
    <w:p w14:paraId="1ED6B77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E4A2B8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14:paraId="6E7489D8">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14:paraId="07D91F54">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在采购中，出现下列情形之一的，本项目应予废标：</w:t>
      </w:r>
    </w:p>
    <w:p w14:paraId="2F9396BC">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14:paraId="4C0A6D22">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14:paraId="47098C17">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14:paraId="545026EB">
      <w:pPr>
        <w:pStyle w:val="4"/>
        <w:rPr>
          <w:color w:val="auto"/>
          <w:highlight w:val="none"/>
        </w:rPr>
      </w:pPr>
      <w:bookmarkStart w:id="112" w:name="_Toc17951"/>
      <w:bookmarkStart w:id="113" w:name="_Toc5562"/>
      <w:r>
        <w:rPr>
          <w:rFonts w:hint="eastAsia"/>
          <w:color w:val="auto"/>
          <w:highlight w:val="none"/>
        </w:rPr>
        <w:t>六、定标及</w:t>
      </w:r>
      <w:bookmarkStart w:id="114" w:name="_Toc9510640"/>
      <w:r>
        <w:rPr>
          <w:rFonts w:hint="eastAsia"/>
          <w:color w:val="auto"/>
          <w:highlight w:val="none"/>
        </w:rPr>
        <w:t>合同授予</w:t>
      </w:r>
      <w:bookmarkEnd w:id="112"/>
      <w:bookmarkEnd w:id="113"/>
    </w:p>
    <w:p w14:paraId="21F1FA09">
      <w:pPr>
        <w:pStyle w:val="5"/>
        <w:rPr>
          <w:color w:val="auto"/>
          <w:highlight w:val="none"/>
        </w:rPr>
      </w:pPr>
      <w:bookmarkStart w:id="115" w:name="_Toc31428"/>
      <w:r>
        <w:rPr>
          <w:rFonts w:hint="eastAsia"/>
          <w:color w:val="auto"/>
          <w:highlight w:val="none"/>
        </w:rPr>
        <w:t>30、确</w:t>
      </w:r>
      <w:bookmarkEnd w:id="114"/>
      <w:r>
        <w:rPr>
          <w:rFonts w:hint="eastAsia"/>
          <w:color w:val="auto"/>
          <w:highlight w:val="none"/>
        </w:rPr>
        <w:t>定中标人</w:t>
      </w:r>
      <w:bookmarkEnd w:id="115"/>
    </w:p>
    <w:p w14:paraId="5B11FDFD">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14:paraId="5C49C121">
      <w:pPr>
        <w:adjustRightInd w:val="0"/>
        <w:snapToGrid w:val="0"/>
        <w:spacing w:line="360" w:lineRule="auto"/>
        <w:ind w:firstLine="480" w:firstLineChars="200"/>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30.1本项目由评标委员会推荐中标候选人，采购代理机构应当自评审结束之日起2个工作日内将评审报告送交采购人。采购人应当自收到评审报告之日起5个工作日内在评审报告推荐的中标或者成交候选人中按顺序确定中标或者成交供应商。</w:t>
      </w:r>
    </w:p>
    <w:p w14:paraId="1482F040">
      <w:pPr>
        <w:adjustRightInd w:val="0"/>
        <w:snapToGrid w:val="0"/>
        <w:spacing w:line="360" w:lineRule="auto"/>
        <w:ind w:firstLine="480" w:firstLineChars="200"/>
        <w:rPr>
          <w:rFonts w:asciiTheme="majorEastAsia" w:hAnsiTheme="majorEastAsia" w:eastAsiaTheme="majorEastAsia" w:cstheme="majorEastAsia"/>
          <w:color w:val="auto"/>
          <w:sz w:val="24"/>
          <w:szCs w:val="24"/>
          <w:highlight w:val="none"/>
        </w:rPr>
      </w:pPr>
      <w:r>
        <w:rPr>
          <w:rFonts w:asciiTheme="majorEastAsia" w:hAnsiTheme="majorEastAsia" w:eastAsiaTheme="majorEastAsia" w:cstheme="majorEastAsia"/>
          <w:color w:val="auto"/>
          <w:sz w:val="24"/>
          <w:szCs w:val="24"/>
          <w:highlight w:val="none"/>
        </w:rPr>
        <w:t>30.2采购人或者采购代理机构应当自中标、成交供应商确定之日起2个工作日内，发出中标、成交通知书，并在省级以上人民政府财政部门指定的媒体上公告中标、成交结果。投标人如对评审结果有质疑的，按照《中华人民共和国政府采购法》、《中华人民共和国政府采购法实施条例》等有关程序办理。</w:t>
      </w:r>
    </w:p>
    <w:p w14:paraId="7E4771E1">
      <w:pPr>
        <w:pStyle w:val="5"/>
        <w:rPr>
          <w:color w:val="auto"/>
          <w:highlight w:val="none"/>
        </w:rPr>
      </w:pPr>
      <w:bookmarkStart w:id="116" w:name="_Toc4164"/>
      <w:r>
        <w:rPr>
          <w:rFonts w:hint="eastAsia"/>
          <w:color w:val="auto"/>
          <w:highlight w:val="none"/>
        </w:rPr>
        <w:t>31、签订合同</w:t>
      </w:r>
      <w:bookmarkEnd w:id="116"/>
    </w:p>
    <w:p w14:paraId="15E8D28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14:paraId="1FE06BD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14:paraId="7F94F94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14:paraId="112D110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31.4自政府采购合同签订之日起2个工作日内，本项目政府采购合同在中国政府采购网（www.ccgp.gov.cn）公告，但政府采购合同中涉及国家秘密、商业秘密的内容除外。</w:t>
      </w:r>
    </w:p>
    <w:p w14:paraId="08F25452">
      <w:pPr>
        <w:pStyle w:val="5"/>
        <w:rPr>
          <w:color w:val="auto"/>
          <w:highlight w:val="none"/>
        </w:rPr>
      </w:pPr>
      <w:bookmarkStart w:id="117" w:name="_Toc15336"/>
      <w:r>
        <w:rPr>
          <w:rFonts w:hint="eastAsia"/>
          <w:color w:val="auto"/>
          <w:highlight w:val="none"/>
        </w:rPr>
        <w:t>32、其他说明</w:t>
      </w:r>
      <w:bookmarkEnd w:id="117"/>
    </w:p>
    <w:p w14:paraId="5399720E">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14:paraId="40B959A1">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14:paraId="21B04776">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02B248C5">
      <w:pPr>
        <w:pStyle w:val="2"/>
        <w:rPr>
          <w:color w:val="auto"/>
          <w:highlight w:val="none"/>
        </w:rPr>
      </w:pPr>
      <w:bookmarkStart w:id="118" w:name="_Toc8515"/>
      <w:bookmarkStart w:id="119" w:name="_Toc23127"/>
      <w:bookmarkStart w:id="120" w:name="_Toc23540"/>
      <w:bookmarkStart w:id="121" w:name="_Toc30905"/>
      <w:r>
        <w:rPr>
          <w:rFonts w:hint="eastAsia"/>
          <w:color w:val="auto"/>
          <w:highlight w:val="none"/>
        </w:rPr>
        <w:t>第三章 评分</w:t>
      </w:r>
      <w:bookmarkEnd w:id="118"/>
      <w:bookmarkEnd w:id="119"/>
      <w:r>
        <w:rPr>
          <w:rFonts w:hint="eastAsia"/>
          <w:color w:val="auto"/>
          <w:highlight w:val="none"/>
        </w:rPr>
        <w:t>办法及评分标准</w:t>
      </w:r>
      <w:bookmarkEnd w:id="120"/>
      <w:bookmarkEnd w:id="121"/>
    </w:p>
    <w:p w14:paraId="0C9E6B5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14:paraId="348782F4">
      <w:pPr>
        <w:pStyle w:val="4"/>
        <w:rPr>
          <w:color w:val="auto"/>
          <w:highlight w:val="none"/>
        </w:rPr>
      </w:pPr>
      <w:bookmarkStart w:id="122" w:name="_Toc32479"/>
      <w:bookmarkStart w:id="123" w:name="_Toc29264"/>
      <w:r>
        <w:rPr>
          <w:rFonts w:hint="eastAsia"/>
          <w:color w:val="auto"/>
          <w:highlight w:val="none"/>
        </w:rPr>
        <w:t>一、评标组织</w:t>
      </w:r>
      <w:bookmarkEnd w:id="122"/>
      <w:bookmarkEnd w:id="123"/>
    </w:p>
    <w:p w14:paraId="4DB79F86">
      <w:pPr>
        <w:spacing w:line="500" w:lineRule="exact"/>
        <w:ind w:firstLine="480" w:firstLineChars="200"/>
        <w:rPr>
          <w:rFonts w:asciiTheme="minorEastAsia" w:hAnsiTheme="minorEastAsia" w:eastAsiaTheme="minorEastAsia" w:cstheme="minorEastAsia"/>
          <w:color w:val="auto"/>
          <w:sz w:val="24"/>
          <w:szCs w:val="24"/>
          <w:highlight w:val="none"/>
        </w:rPr>
      </w:pPr>
      <w:bookmarkStart w:id="124" w:name="_Toc249760792"/>
      <w:bookmarkStart w:id="125" w:name="_Toc251566663"/>
      <w:bookmarkStart w:id="126" w:name="_Toc405213814"/>
      <w:r>
        <w:rPr>
          <w:rFonts w:hint="eastAsia" w:asciiTheme="minorEastAsia" w:hAnsiTheme="minorEastAsia" w:eastAsiaTheme="minorEastAsia" w:cstheme="minorEastAsia"/>
          <w:color w:val="auto"/>
          <w:sz w:val="24"/>
          <w:szCs w:val="24"/>
          <w:highlight w:val="none"/>
        </w:rPr>
        <w:t>评标工作</w:t>
      </w:r>
      <w:bookmarkEnd w:id="124"/>
      <w:bookmarkEnd w:id="125"/>
      <w:bookmarkEnd w:id="126"/>
      <w:r>
        <w:rPr>
          <w:rFonts w:hint="eastAsia" w:asciiTheme="minorEastAsia" w:hAnsiTheme="minorEastAsia" w:eastAsiaTheme="minorEastAsia" w:cstheme="minorEastAsia"/>
          <w:color w:val="auto"/>
          <w:sz w:val="24"/>
          <w:szCs w:val="24"/>
          <w:highlight w:val="none"/>
        </w:rPr>
        <w:t>由</w:t>
      </w:r>
      <w:bookmarkStart w:id="127" w:name="_Toc405213815"/>
      <w:bookmarkStart w:id="128" w:name="_Toc251566664"/>
      <w:bookmarkStart w:id="129" w:name="_Toc249760793"/>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14:paraId="186FC0EB">
      <w:pPr>
        <w:pStyle w:val="4"/>
        <w:rPr>
          <w:color w:val="auto"/>
          <w:highlight w:val="none"/>
        </w:rPr>
      </w:pPr>
      <w:bookmarkStart w:id="130" w:name="_Toc24221"/>
      <w:bookmarkStart w:id="131" w:name="_Toc3581"/>
      <w:r>
        <w:rPr>
          <w:rFonts w:hint="eastAsia"/>
          <w:color w:val="auto"/>
          <w:highlight w:val="none"/>
        </w:rPr>
        <w:t>二、评标纪律</w:t>
      </w:r>
      <w:bookmarkEnd w:id="130"/>
      <w:bookmarkEnd w:id="131"/>
    </w:p>
    <w:p w14:paraId="1248C274">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127"/>
      <w:bookmarkEnd w:id="128"/>
      <w:bookmarkEnd w:id="129"/>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14:paraId="0C588FC5">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14:paraId="3C9031D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14:paraId="02D3C9B7">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14:paraId="11EE1A1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14:paraId="766BCF6D">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14:paraId="21018F1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14:paraId="53DB675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14:paraId="2318ED85">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0E5CCA8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18D27443">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14:paraId="5CC2F24C">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14:paraId="3DD64425">
      <w:pPr>
        <w:pStyle w:val="4"/>
        <w:rPr>
          <w:color w:val="auto"/>
          <w:highlight w:val="none"/>
        </w:rPr>
      </w:pPr>
      <w:bookmarkStart w:id="132" w:name="_Toc10772"/>
      <w:bookmarkStart w:id="133" w:name="_Toc6124"/>
      <w:r>
        <w:rPr>
          <w:rFonts w:hint="eastAsia"/>
          <w:color w:val="auto"/>
          <w:highlight w:val="none"/>
        </w:rPr>
        <w:t>三、评分标准和细则</w:t>
      </w:r>
      <w:bookmarkEnd w:id="132"/>
      <w:bookmarkEnd w:id="133"/>
    </w:p>
    <w:p w14:paraId="600126EA">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14:paraId="273ED94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1.评标委员会各成员独立根据招标文件对各投标文件技术内容充分审核、评议后评标委员会成员独立按评分细则，进行评审；</w:t>
      </w:r>
      <w:r>
        <w:rPr>
          <w:rFonts w:ascii="宋体" w:hAnsi="宋体" w:cs="宋体"/>
          <w:color w:val="auto"/>
          <w:sz w:val="24"/>
          <w:szCs w:val="24"/>
          <w:highlight w:val="none"/>
        </w:rPr>
        <w:t>各投标人技术</w:t>
      </w:r>
      <w:r>
        <w:rPr>
          <w:rFonts w:hint="eastAsia" w:ascii="宋体" w:hAnsi="宋体" w:cs="宋体"/>
          <w:color w:val="auto"/>
          <w:sz w:val="24"/>
          <w:szCs w:val="24"/>
          <w:highlight w:val="none"/>
        </w:rPr>
        <w:t>商务</w:t>
      </w:r>
      <w:r>
        <w:rPr>
          <w:rFonts w:ascii="宋体" w:hAnsi="宋体" w:cs="宋体"/>
          <w:color w:val="auto"/>
          <w:sz w:val="24"/>
          <w:szCs w:val="24"/>
          <w:highlight w:val="none"/>
        </w:rPr>
        <w:t>的最终分值为评标委员会成员的有效评分的算术平均值</w:t>
      </w:r>
      <w:r>
        <w:rPr>
          <w:rFonts w:hint="eastAsia" w:asciiTheme="minorEastAsia" w:hAnsiTheme="minorEastAsia" w:eastAsiaTheme="minorEastAsia" w:cstheme="minorEastAsia"/>
          <w:color w:val="auto"/>
          <w:sz w:val="24"/>
          <w:szCs w:val="24"/>
          <w:highlight w:val="none"/>
        </w:rPr>
        <w:t>。</w:t>
      </w:r>
    </w:p>
    <w:p w14:paraId="3122D682">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2.评标委员会成员独立按评分细则对各投标人的投标报价进行统一计算评分，集体统一判定评分。</w:t>
      </w:r>
    </w:p>
    <w:p w14:paraId="208BFEEA">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14:paraId="35BF07A3">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14:paraId="7C94CDA1">
      <w:pPr>
        <w:rPr>
          <w:color w:val="auto"/>
          <w:highlight w:val="none"/>
        </w:rPr>
      </w:pPr>
    </w:p>
    <w:tbl>
      <w:tblPr>
        <w:tblStyle w:val="39"/>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6134"/>
        <w:gridCol w:w="828"/>
      </w:tblGrid>
      <w:tr w14:paraId="12EA0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73A19C63">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14:paraId="19F96865">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6134" w:type="dxa"/>
            <w:tcMar>
              <w:top w:w="15" w:type="dxa"/>
              <w:left w:w="15" w:type="dxa"/>
              <w:right w:w="15" w:type="dxa"/>
            </w:tcMar>
            <w:vAlign w:val="center"/>
          </w:tcPr>
          <w:p w14:paraId="1026A9DC">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828" w:type="dxa"/>
            <w:tcMar>
              <w:top w:w="15" w:type="dxa"/>
              <w:left w:w="15" w:type="dxa"/>
              <w:right w:w="15" w:type="dxa"/>
            </w:tcMar>
            <w:vAlign w:val="center"/>
          </w:tcPr>
          <w:p w14:paraId="364F151E">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14:paraId="36578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14:paraId="3671CA13">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14:paraId="4661FA5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14:paraId="37CEBC38">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6134" w:type="dxa"/>
            <w:tcMar>
              <w:top w:w="15" w:type="dxa"/>
              <w:left w:w="15" w:type="dxa"/>
              <w:right w:w="15" w:type="dxa"/>
            </w:tcMar>
            <w:vAlign w:val="center"/>
          </w:tcPr>
          <w:p w14:paraId="1117828B">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828" w:type="dxa"/>
            <w:tcMar>
              <w:top w:w="15" w:type="dxa"/>
              <w:left w:w="15" w:type="dxa"/>
              <w:right w:w="15" w:type="dxa"/>
            </w:tcMar>
            <w:vAlign w:val="center"/>
          </w:tcPr>
          <w:p w14:paraId="4DF7CBF0">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14:paraId="7F0CE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57ECB1D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E6F386F">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7BD4BE0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B8C2715">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AC41E2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0C6A47A">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FA0A70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1346EB1">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3874A28">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8348971">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28994A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317E9D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773830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577534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0DC3990D">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14:paraId="23D346AA">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14:paraId="7B4AB169">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6134" w:type="dxa"/>
            <w:tcMar>
              <w:top w:w="15" w:type="dxa"/>
              <w:left w:w="15" w:type="dxa"/>
              <w:right w:w="15" w:type="dxa"/>
            </w:tcMar>
            <w:vAlign w:val="center"/>
          </w:tcPr>
          <w:p w14:paraId="7B84F82F">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对照“项目需求”技术参数，根据投标人提供的产品配置及技术性能指标的响应情况进行评审。</w:t>
            </w:r>
          </w:p>
          <w:p w14:paraId="37322AC5">
            <w:pPr>
              <w:widowControl/>
              <w:spacing w:line="400" w:lineRule="exact"/>
              <w:ind w:firstLine="480" w:firstLineChars="200"/>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1.投标人所投产品技术参数完全响应招标文件要求的，得</w:t>
            </w:r>
            <w:r>
              <w:rPr>
                <w:rFonts w:hint="eastAsia" w:asciiTheme="minorEastAsia" w:hAnsiTheme="minorEastAsia" w:cstheme="minorEastAsia"/>
                <w:color w:val="auto"/>
                <w:sz w:val="24"/>
                <w:szCs w:val="24"/>
                <w:highlight w:val="none"/>
              </w:rPr>
              <w:t>2</w:t>
            </w:r>
            <w:r>
              <w:rPr>
                <w:rFonts w:hint="eastAsia" w:asciiTheme="minorEastAsia" w:hAnsi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分；</w:t>
            </w:r>
          </w:p>
          <w:p w14:paraId="35522228">
            <w:pPr>
              <w:pStyle w:val="30"/>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kern w:val="0"/>
                <w:sz w:val="24"/>
                <w:szCs w:val="24"/>
                <w:highlight w:val="none"/>
              </w:rPr>
              <w:t>一般技术参数存在负偏离的</w:t>
            </w:r>
            <w:r>
              <w:rPr>
                <w:rFonts w:hint="eastAsia" w:asciiTheme="minorEastAsia" w:hAnsiTheme="minorEastAsia" w:cstheme="minorEastAsia"/>
                <w:color w:val="auto"/>
                <w:sz w:val="24"/>
                <w:szCs w:val="24"/>
                <w:highlight w:val="none"/>
              </w:rPr>
              <w:t>（此项共</w:t>
            </w: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cstheme="minorEastAsia"/>
                <w:color w:val="auto"/>
                <w:sz w:val="24"/>
                <w:szCs w:val="24"/>
                <w:highlight w:val="none"/>
              </w:rPr>
              <w:t>条）</w:t>
            </w:r>
            <w:r>
              <w:rPr>
                <w:rFonts w:hint="eastAsia" w:asciiTheme="minorEastAsia" w:hAnsiTheme="minorEastAsia" w:eastAsiaTheme="minorEastAsia" w:cstheme="minorEastAsia"/>
                <w:color w:val="auto"/>
                <w:kern w:val="0"/>
                <w:sz w:val="24"/>
                <w:szCs w:val="24"/>
                <w:highlight w:val="none"/>
              </w:rPr>
              <w:t>，每一条扣</w:t>
            </w: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分，</w:t>
            </w:r>
            <w:r>
              <w:rPr>
                <w:rFonts w:hint="eastAsia" w:asciiTheme="minorEastAsia" w:hAnsiTheme="minorEastAsia" w:eastAsiaTheme="minorEastAsia" w:cstheme="minorEastAsia"/>
                <w:color w:val="auto"/>
                <w:sz w:val="24"/>
                <w:szCs w:val="24"/>
                <w:highlight w:val="none"/>
              </w:rPr>
              <w:t>最多扣</w:t>
            </w: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分；</w:t>
            </w:r>
          </w:p>
          <w:p w14:paraId="2AF51DD7">
            <w:pPr>
              <w:widowControl/>
              <w:spacing w:line="400" w:lineRule="exact"/>
              <w:ind w:firstLine="482" w:firstLineChars="200"/>
              <w:textAlignment w:val="center"/>
              <w:rPr>
                <w:rFonts w:eastAsiaTheme="minorEastAsia"/>
                <w:color w:val="auto"/>
                <w:highlight w:val="none"/>
              </w:rPr>
            </w:pPr>
            <w:r>
              <w:rPr>
                <w:b/>
                <w:bCs/>
                <w:color w:val="auto"/>
                <w:sz w:val="24"/>
                <w:szCs w:val="24"/>
                <w:highlight w:val="none"/>
              </w:rPr>
              <w:t>注：负偏离评审依据：</w:t>
            </w:r>
            <w:r>
              <w:rPr>
                <w:rFonts w:hint="eastAsia"/>
                <w:b/>
                <w:bCs/>
                <w:color w:val="auto"/>
                <w:sz w:val="24"/>
                <w:szCs w:val="24"/>
                <w:highlight w:val="none"/>
              </w:rPr>
              <w:t>①</w:t>
            </w:r>
            <w:r>
              <w:rPr>
                <w:b/>
                <w:bCs/>
                <w:color w:val="auto"/>
                <w:sz w:val="24"/>
                <w:szCs w:val="24"/>
                <w:highlight w:val="none"/>
              </w:rPr>
              <w:t>所</w:t>
            </w:r>
            <w:r>
              <w:rPr>
                <w:rFonts w:hint="eastAsia"/>
                <w:b/>
                <w:bCs/>
                <w:color w:val="auto"/>
                <w:sz w:val="24"/>
                <w:szCs w:val="24"/>
                <w:highlight w:val="none"/>
              </w:rPr>
              <w:t>提供</w:t>
            </w:r>
            <w:r>
              <w:rPr>
                <w:b/>
                <w:bCs/>
                <w:color w:val="auto"/>
                <w:sz w:val="24"/>
                <w:szCs w:val="24"/>
                <w:highlight w:val="none"/>
              </w:rPr>
              <w:t>产品技术参数低于</w:t>
            </w:r>
            <w:r>
              <w:rPr>
                <w:rFonts w:hint="eastAsia"/>
                <w:b/>
                <w:bCs/>
                <w:color w:val="auto"/>
                <w:sz w:val="24"/>
                <w:szCs w:val="24"/>
                <w:highlight w:val="none"/>
              </w:rPr>
              <w:t>招标</w:t>
            </w:r>
            <w:r>
              <w:rPr>
                <w:b/>
                <w:bCs/>
                <w:color w:val="auto"/>
                <w:sz w:val="24"/>
                <w:szCs w:val="24"/>
                <w:highlight w:val="none"/>
              </w:rPr>
              <w:t>文件要求的，视为负偏离；</w:t>
            </w:r>
            <w:r>
              <w:rPr>
                <w:rFonts w:hint="eastAsia"/>
                <w:b/>
                <w:bCs/>
                <w:color w:val="auto"/>
                <w:sz w:val="24"/>
                <w:szCs w:val="24"/>
                <w:highlight w:val="none"/>
              </w:rPr>
              <w:t>②</w:t>
            </w:r>
            <w:r>
              <w:rPr>
                <w:b/>
                <w:bCs/>
                <w:color w:val="auto"/>
                <w:sz w:val="24"/>
                <w:szCs w:val="24"/>
                <w:highlight w:val="none"/>
              </w:rPr>
              <w:t>技术参数响应条款</w:t>
            </w:r>
            <w:r>
              <w:rPr>
                <w:rFonts w:hint="eastAsia"/>
                <w:b/>
                <w:bCs/>
                <w:color w:val="auto"/>
                <w:sz w:val="24"/>
                <w:szCs w:val="24"/>
                <w:highlight w:val="none"/>
              </w:rPr>
              <w:t>（以投标文件内技术偏离表为准）</w:t>
            </w:r>
            <w:r>
              <w:rPr>
                <w:b/>
                <w:bCs/>
                <w:color w:val="auto"/>
                <w:sz w:val="24"/>
                <w:szCs w:val="24"/>
                <w:highlight w:val="none"/>
              </w:rPr>
              <w:t>与</w:t>
            </w:r>
            <w:r>
              <w:rPr>
                <w:rFonts w:hint="eastAsia"/>
                <w:b/>
                <w:bCs/>
                <w:color w:val="auto"/>
                <w:sz w:val="24"/>
                <w:szCs w:val="24"/>
                <w:highlight w:val="none"/>
              </w:rPr>
              <w:t>招标</w:t>
            </w:r>
            <w:r>
              <w:rPr>
                <w:b/>
                <w:bCs/>
                <w:color w:val="auto"/>
                <w:sz w:val="24"/>
                <w:szCs w:val="24"/>
                <w:highlight w:val="none"/>
              </w:rPr>
              <w:t>文件对比有缺项、漏项的，视为负偏离；</w:t>
            </w:r>
            <w:r>
              <w:rPr>
                <w:rFonts w:hint="eastAsia"/>
                <w:b/>
                <w:bCs/>
                <w:color w:val="auto"/>
                <w:sz w:val="24"/>
                <w:szCs w:val="24"/>
                <w:highlight w:val="none"/>
              </w:rPr>
              <w:t>③投标文件内技术偏离表完全复制招标文件技术参数的（不涉及具体参数指标的描述性技术要求除外），视为负偏离；④投标人</w:t>
            </w:r>
            <w:r>
              <w:rPr>
                <w:b/>
                <w:bCs/>
                <w:color w:val="auto"/>
                <w:sz w:val="24"/>
                <w:szCs w:val="24"/>
                <w:highlight w:val="none"/>
              </w:rPr>
              <w:t>提供的</w:t>
            </w:r>
            <w:r>
              <w:rPr>
                <w:rFonts w:hint="eastAsia"/>
                <w:b/>
                <w:bCs/>
                <w:color w:val="auto"/>
                <w:sz w:val="24"/>
                <w:szCs w:val="24"/>
                <w:highlight w:val="none"/>
              </w:rPr>
              <w:t>投标</w:t>
            </w:r>
            <w:r>
              <w:rPr>
                <w:b/>
                <w:bCs/>
                <w:color w:val="auto"/>
                <w:sz w:val="24"/>
                <w:szCs w:val="24"/>
                <w:highlight w:val="none"/>
              </w:rPr>
              <w:t>文件中产品技术偏离表、产品技术规格书和产品检测报告内描述的同一产品技术参数响应值不一致的，视为负偏离</w:t>
            </w:r>
            <w:r>
              <w:rPr>
                <w:rFonts w:hint="eastAsia"/>
                <w:b/>
                <w:bCs/>
                <w:color w:val="auto"/>
                <w:sz w:val="24"/>
                <w:szCs w:val="24"/>
                <w:highlight w:val="none"/>
              </w:rPr>
              <w:t>。</w:t>
            </w:r>
          </w:p>
        </w:tc>
        <w:tc>
          <w:tcPr>
            <w:tcW w:w="828" w:type="dxa"/>
            <w:tcMar>
              <w:top w:w="15" w:type="dxa"/>
              <w:left w:w="15" w:type="dxa"/>
              <w:right w:w="15" w:type="dxa"/>
            </w:tcMar>
            <w:vAlign w:val="center"/>
          </w:tcPr>
          <w:p w14:paraId="18869B9F">
            <w:pPr>
              <w:widowControl/>
              <w:spacing w:line="400" w:lineRule="exact"/>
              <w:jc w:val="center"/>
              <w:textAlignment w:val="center"/>
              <w:rPr>
                <w:rFonts w:hint="eastAsia" w:eastAsia="宋体" w:asciiTheme="minorEastAsia" w:hAnsiTheme="minorEastAsia" w:cstheme="minorEastAsia"/>
                <w:color w:val="auto"/>
                <w:kern w:val="0"/>
                <w:sz w:val="24"/>
                <w:szCs w:val="24"/>
                <w:highlight w:val="none"/>
                <w:lang w:eastAsia="zh-CN"/>
              </w:rPr>
            </w:pPr>
            <w:r>
              <w:rPr>
                <w:rFonts w:hint="eastAsia" w:asciiTheme="minorEastAsia" w:hAnsiTheme="minorEastAsia" w:cstheme="minorEastAsia"/>
                <w:color w:val="auto"/>
                <w:kern w:val="0"/>
                <w:sz w:val="24"/>
                <w:szCs w:val="24"/>
                <w:highlight w:val="none"/>
              </w:rPr>
              <w:t>2</w:t>
            </w:r>
            <w:r>
              <w:rPr>
                <w:rFonts w:hint="eastAsia" w:asciiTheme="minorEastAsia" w:hAnsiTheme="minorEastAsia" w:cstheme="minorEastAsia"/>
                <w:color w:val="auto"/>
                <w:kern w:val="0"/>
                <w:sz w:val="24"/>
                <w:szCs w:val="24"/>
                <w:highlight w:val="none"/>
                <w:lang w:val="en-US" w:eastAsia="zh-CN"/>
              </w:rPr>
              <w:t>7</w:t>
            </w:r>
          </w:p>
        </w:tc>
      </w:tr>
      <w:tr w14:paraId="529A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1097" w:type="dxa"/>
            <w:vMerge w:val="continue"/>
            <w:tcMar>
              <w:top w:w="15" w:type="dxa"/>
              <w:left w:w="15" w:type="dxa"/>
              <w:right w:w="15" w:type="dxa"/>
            </w:tcMar>
            <w:vAlign w:val="center"/>
          </w:tcPr>
          <w:p w14:paraId="2CF097E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2500244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color w:val="auto"/>
                <w:sz w:val="24"/>
                <w:szCs w:val="24"/>
                <w:highlight w:val="none"/>
              </w:rPr>
              <w:t>业绩证明</w:t>
            </w:r>
          </w:p>
        </w:tc>
        <w:tc>
          <w:tcPr>
            <w:tcW w:w="6134" w:type="dxa"/>
            <w:tcMar>
              <w:top w:w="15" w:type="dxa"/>
              <w:left w:w="15" w:type="dxa"/>
              <w:right w:w="15" w:type="dxa"/>
            </w:tcMar>
            <w:vAlign w:val="center"/>
          </w:tcPr>
          <w:p w14:paraId="117D7E55">
            <w:pPr>
              <w:widowControl/>
              <w:spacing w:line="400" w:lineRule="exact"/>
              <w:ind w:firstLine="480" w:firstLineChars="200"/>
              <w:rPr>
                <w:color w:val="auto"/>
                <w:sz w:val="24"/>
                <w:szCs w:val="24"/>
                <w:highlight w:val="none"/>
              </w:rPr>
            </w:pPr>
            <w:r>
              <w:rPr>
                <w:rFonts w:hint="eastAsia"/>
                <w:color w:val="auto"/>
                <w:sz w:val="24"/>
                <w:szCs w:val="24"/>
                <w:highlight w:val="none"/>
              </w:rPr>
              <w:t>供应商近三年内</w:t>
            </w:r>
            <w:r>
              <w:rPr>
                <w:rFonts w:hint="eastAsia"/>
                <w:color w:val="auto"/>
                <w:sz w:val="24"/>
                <w:szCs w:val="24"/>
                <w:highlight w:val="none"/>
              </w:rPr>
              <w:t>（2023年1月1日起至今，</w:t>
            </w:r>
            <w:r>
              <w:rPr>
                <w:rFonts w:hint="eastAsia"/>
                <w:color w:val="auto"/>
                <w:sz w:val="24"/>
                <w:szCs w:val="24"/>
                <w:highlight w:val="none"/>
              </w:rPr>
              <w:t>以合同签订日期为准）完成类似项目的业绩，每个项目业绩得</w:t>
            </w:r>
            <w:r>
              <w:rPr>
                <w:rFonts w:hint="eastAsia"/>
                <w:color w:val="auto"/>
                <w:sz w:val="24"/>
                <w:szCs w:val="24"/>
                <w:highlight w:val="none"/>
                <w:lang w:val="en-US" w:eastAsia="zh-CN"/>
              </w:rPr>
              <w:t>2</w:t>
            </w:r>
            <w:r>
              <w:rPr>
                <w:rFonts w:hint="eastAsia"/>
                <w:color w:val="auto"/>
                <w:sz w:val="24"/>
                <w:szCs w:val="24"/>
                <w:highlight w:val="none"/>
              </w:rPr>
              <w:t>.5分，最多得</w:t>
            </w:r>
            <w:r>
              <w:rPr>
                <w:rFonts w:hint="eastAsia"/>
                <w:color w:val="auto"/>
                <w:sz w:val="24"/>
                <w:szCs w:val="24"/>
                <w:highlight w:val="none"/>
                <w:lang w:val="en-US" w:eastAsia="zh-CN"/>
              </w:rPr>
              <w:t>5</w:t>
            </w:r>
            <w:r>
              <w:rPr>
                <w:rFonts w:hint="eastAsia"/>
                <w:color w:val="auto"/>
                <w:sz w:val="24"/>
                <w:szCs w:val="24"/>
                <w:highlight w:val="none"/>
              </w:rPr>
              <w:t>分。</w:t>
            </w:r>
          </w:p>
          <w:p w14:paraId="16644CFC">
            <w:pPr>
              <w:widowControl/>
              <w:spacing w:line="400" w:lineRule="exact"/>
              <w:ind w:firstLine="482" w:firstLineChars="200"/>
              <w:textAlignment w:val="center"/>
              <w:rPr>
                <w:b/>
                <w:bCs/>
                <w:color w:val="auto"/>
                <w:sz w:val="24"/>
                <w:szCs w:val="24"/>
                <w:highlight w:val="none"/>
              </w:rPr>
            </w:pPr>
            <w:r>
              <w:rPr>
                <w:rFonts w:hint="eastAsia"/>
                <w:b/>
                <w:bCs/>
                <w:color w:val="auto"/>
                <w:sz w:val="24"/>
                <w:szCs w:val="24"/>
                <w:highlight w:val="none"/>
              </w:rPr>
              <w:t>注：①提供中标（成交）通知书和合同复印件，未按要求提供不得分；②同一单位近三年的类似合同不重复计算业绩，仅算一个业绩。</w:t>
            </w:r>
          </w:p>
        </w:tc>
        <w:tc>
          <w:tcPr>
            <w:tcW w:w="828" w:type="dxa"/>
            <w:tcMar>
              <w:top w:w="15" w:type="dxa"/>
              <w:left w:w="15" w:type="dxa"/>
              <w:right w:w="15" w:type="dxa"/>
            </w:tcMar>
            <w:vAlign w:val="center"/>
          </w:tcPr>
          <w:p w14:paraId="20EA2BAD">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5</w:t>
            </w:r>
          </w:p>
        </w:tc>
      </w:tr>
      <w:tr w14:paraId="538EB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05A1009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0CA15D6E">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14:paraId="258A08FF">
            <w:pPr>
              <w:widowControl/>
              <w:spacing w:line="400" w:lineRule="exact"/>
              <w:jc w:val="center"/>
              <w:textAlignment w:val="center"/>
              <w:rPr>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6134" w:type="dxa"/>
            <w:tcMar>
              <w:top w:w="15" w:type="dxa"/>
              <w:left w:w="15" w:type="dxa"/>
              <w:right w:w="15" w:type="dxa"/>
            </w:tcMar>
            <w:vAlign w:val="center"/>
          </w:tcPr>
          <w:p w14:paraId="3B87F5C7">
            <w:pPr>
              <w:widowControl/>
              <w:spacing w:line="400" w:lineRule="exact"/>
              <w:rPr>
                <w:color w:val="auto"/>
                <w:sz w:val="24"/>
                <w:szCs w:val="24"/>
                <w:highlight w:val="none"/>
              </w:rPr>
            </w:pPr>
            <w:r>
              <w:rPr>
                <w:rFonts w:hint="eastAsia"/>
                <w:color w:val="auto"/>
                <w:sz w:val="24"/>
                <w:szCs w:val="24"/>
                <w:highlight w:val="none"/>
              </w:rPr>
              <w:t>根据供应商提供的项目</w:t>
            </w:r>
            <w:r>
              <w:rPr>
                <w:rFonts w:hint="eastAsia" w:asciiTheme="minorEastAsia" w:hAnsiTheme="minorEastAsia" w:eastAsiaTheme="minorEastAsia" w:cstheme="minorEastAsia"/>
                <w:color w:val="auto"/>
                <w:sz w:val="24"/>
                <w:szCs w:val="24"/>
                <w:highlight w:val="none"/>
              </w:rPr>
              <w:t>组织</w:t>
            </w:r>
            <w:r>
              <w:rPr>
                <w:rFonts w:hint="eastAsia"/>
                <w:color w:val="auto"/>
                <w:sz w:val="24"/>
                <w:szCs w:val="24"/>
                <w:highlight w:val="none"/>
              </w:rPr>
              <w:t>方案进行评分：</w:t>
            </w:r>
          </w:p>
          <w:p w14:paraId="69ECB6A5">
            <w:pPr>
              <w:widowControl/>
              <w:spacing w:line="400" w:lineRule="exact"/>
              <w:rPr>
                <w:color w:val="auto"/>
                <w:sz w:val="24"/>
                <w:szCs w:val="24"/>
                <w:highlight w:val="none"/>
              </w:rPr>
            </w:pPr>
            <w:r>
              <w:rPr>
                <w:rFonts w:hint="eastAsia"/>
                <w:color w:val="auto"/>
                <w:sz w:val="24"/>
                <w:szCs w:val="24"/>
                <w:highlight w:val="none"/>
              </w:rPr>
              <w:t>项目</w:t>
            </w:r>
            <w:r>
              <w:rPr>
                <w:rFonts w:hint="eastAsia" w:asciiTheme="minorEastAsia" w:hAnsiTheme="minorEastAsia" w:eastAsiaTheme="minorEastAsia" w:cstheme="minorEastAsia"/>
                <w:color w:val="auto"/>
                <w:sz w:val="24"/>
                <w:szCs w:val="24"/>
                <w:highlight w:val="none"/>
              </w:rPr>
              <w:t>组织</w:t>
            </w:r>
            <w:r>
              <w:rPr>
                <w:rFonts w:hint="eastAsia"/>
                <w:color w:val="auto"/>
                <w:sz w:val="24"/>
                <w:szCs w:val="24"/>
                <w:highlight w:val="none"/>
              </w:rPr>
              <w:t>方案包括但不限于：</w:t>
            </w:r>
          </w:p>
          <w:p w14:paraId="3927D29A">
            <w:pPr>
              <w:widowControl/>
              <w:spacing w:line="400" w:lineRule="exact"/>
              <w:rPr>
                <w:rFonts w:asciiTheme="majorEastAsia" w:hAnsiTheme="majorEastAsia" w:eastAsiaTheme="majorEastAsia" w:cstheme="majorEastAsia"/>
                <w:color w:val="auto"/>
                <w:sz w:val="24"/>
                <w:szCs w:val="24"/>
                <w:highlight w:val="none"/>
              </w:rPr>
            </w:pPr>
            <w:r>
              <w:rPr>
                <w:rFonts w:hint="eastAsia"/>
                <w:color w:val="auto"/>
                <w:sz w:val="24"/>
                <w:szCs w:val="24"/>
                <w:highlight w:val="none"/>
              </w:rPr>
              <w:t>①</w:t>
            </w:r>
            <w:r>
              <w:rPr>
                <w:rFonts w:hint="eastAsia" w:asciiTheme="majorEastAsia" w:hAnsiTheme="majorEastAsia" w:eastAsiaTheme="majorEastAsia" w:cstheme="majorEastAsia"/>
                <w:color w:val="auto"/>
                <w:sz w:val="24"/>
                <w:szCs w:val="24"/>
                <w:highlight w:val="none"/>
              </w:rPr>
              <w:t>项目人员安排（包含但不限于主要人员名单及基本情况介绍、在本项目中承担的职责等）</w:t>
            </w:r>
          </w:p>
          <w:p w14:paraId="47C71EAF">
            <w:pPr>
              <w:widowControl/>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②供货方案（包含但不限于产品来源、供货计划、供货时间、包装和运输方式）</w:t>
            </w:r>
          </w:p>
          <w:p w14:paraId="3CF0F704">
            <w:pPr>
              <w:widowControl/>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③质量管控方案（包括但不限于质量管控的标准、方法和程序等）</w:t>
            </w:r>
          </w:p>
          <w:p w14:paraId="03412D52">
            <w:pPr>
              <w:widowControl/>
              <w:spacing w:line="400" w:lineRule="exact"/>
              <w:rPr>
                <w:color w:val="auto"/>
                <w:sz w:val="24"/>
                <w:szCs w:val="24"/>
                <w:highlight w:val="none"/>
              </w:rPr>
            </w:pPr>
            <w:r>
              <w:rPr>
                <w:rFonts w:hint="eastAsia" w:asciiTheme="majorEastAsia" w:hAnsiTheme="majorEastAsia" w:eastAsiaTheme="majorEastAsia" w:cstheme="majorEastAsia"/>
                <w:color w:val="auto"/>
                <w:sz w:val="24"/>
                <w:szCs w:val="24"/>
                <w:highlight w:val="none"/>
              </w:rPr>
              <w:t>④测试（调试）方案（包含但不限于人员安排、测试步骤、测试标准等）</w:t>
            </w:r>
            <w:r>
              <w:rPr>
                <w:rFonts w:hint="eastAsia" w:eastAsiaTheme="majorEastAsia"/>
                <w:color w:val="auto"/>
                <w:sz w:val="24"/>
                <w:szCs w:val="24"/>
                <w:highlight w:val="none"/>
              </w:rPr>
              <w:t>等4项内容，方案内容完整齐全，符合项目实际（第六章“项目需求”）的，得12分；</w:t>
            </w:r>
            <w:r>
              <w:rPr>
                <w:rFonts w:hint="eastAsia"/>
                <w:color w:val="auto"/>
                <w:sz w:val="24"/>
                <w:szCs w:val="24"/>
                <w:highlight w:val="none"/>
              </w:rPr>
              <w:t>每缺少一项方案内容，扣</w:t>
            </w:r>
            <w:r>
              <w:rPr>
                <w:rFonts w:hint="eastAsia"/>
                <w:color w:val="auto"/>
                <w:sz w:val="24"/>
                <w:szCs w:val="24"/>
                <w:highlight w:val="none"/>
                <w:lang w:val="en-US" w:eastAsia="zh-CN"/>
              </w:rPr>
              <w:t>3</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每有</w:t>
            </w:r>
            <w:r>
              <w:rPr>
                <w:rFonts w:hint="eastAsia"/>
                <w:color w:val="auto"/>
                <w:sz w:val="24"/>
                <w:szCs w:val="24"/>
                <w:highlight w:val="none"/>
              </w:rPr>
              <w:t>一项内容存在缺陷的，扣</w:t>
            </w:r>
            <w:r>
              <w:rPr>
                <w:rFonts w:hint="eastAsia"/>
                <w:color w:val="auto"/>
                <w:sz w:val="24"/>
                <w:szCs w:val="24"/>
                <w:highlight w:val="none"/>
                <w:lang w:val="en-US" w:eastAsia="zh-CN"/>
              </w:rPr>
              <w:t>1.5</w:t>
            </w:r>
            <w:r>
              <w:rPr>
                <w:rFonts w:hint="eastAsia"/>
                <w:color w:val="auto"/>
                <w:sz w:val="24"/>
                <w:szCs w:val="24"/>
                <w:highlight w:val="none"/>
              </w:rPr>
              <w:t>分，扣完为止</w:t>
            </w:r>
            <w:r>
              <w:rPr>
                <w:rFonts w:hint="eastAsia" w:eastAsiaTheme="majorEastAsia"/>
                <w:color w:val="auto"/>
                <w:sz w:val="24"/>
                <w:szCs w:val="24"/>
                <w:highlight w:val="none"/>
                <w:lang w:eastAsia="zh-CN"/>
              </w:rPr>
              <w:t>；</w:t>
            </w:r>
            <w:r>
              <w:rPr>
                <w:rFonts w:hint="eastAsia" w:eastAsiaTheme="majorEastAsia"/>
                <w:color w:val="auto"/>
                <w:sz w:val="24"/>
                <w:szCs w:val="24"/>
                <w:highlight w:val="none"/>
              </w:rPr>
              <w:t>未提供项目组织方案的，此项不得分。</w:t>
            </w:r>
          </w:p>
          <w:p w14:paraId="76746699">
            <w:pPr>
              <w:widowControl/>
              <w:spacing w:line="400" w:lineRule="exact"/>
              <w:ind w:firstLine="482" w:firstLineChars="200"/>
              <w:rPr>
                <w:b/>
                <w:bCs/>
                <w:color w:val="auto"/>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6A90E42F">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cstheme="minorEastAsia"/>
                <w:color w:val="auto"/>
                <w:kern w:val="0"/>
                <w:sz w:val="24"/>
                <w:szCs w:val="24"/>
                <w:highlight w:val="none"/>
              </w:rPr>
              <w:t>12</w:t>
            </w:r>
          </w:p>
        </w:tc>
      </w:tr>
      <w:tr w14:paraId="6967C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1097" w:type="dxa"/>
            <w:vMerge w:val="continue"/>
            <w:tcMar>
              <w:top w:w="15" w:type="dxa"/>
              <w:left w:w="15" w:type="dxa"/>
              <w:right w:w="15" w:type="dxa"/>
            </w:tcMar>
            <w:vAlign w:val="center"/>
          </w:tcPr>
          <w:p w14:paraId="2655AF4D">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14:paraId="4032E4F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14:paraId="7B873A0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0DC97436">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根据供应商提供的项目培训方案进行评分：</w:t>
            </w:r>
          </w:p>
          <w:p w14:paraId="047BFD7C">
            <w:pPr>
              <w:widowControl/>
              <w:spacing w:line="400" w:lineRule="exact"/>
              <w:ind w:firstLine="480" w:firstLineChars="200"/>
              <w:rPr>
                <w:color w:val="auto"/>
                <w:sz w:val="24"/>
                <w:szCs w:val="24"/>
                <w:highlight w:val="none"/>
              </w:rPr>
            </w:pPr>
            <w:r>
              <w:rPr>
                <w:rFonts w:hint="eastAsia"/>
                <w:color w:val="auto"/>
                <w:sz w:val="24"/>
                <w:szCs w:val="24"/>
                <w:highlight w:val="none"/>
              </w:rPr>
              <w:t>项目培训方案包括但不限于①</w:t>
            </w:r>
            <w:r>
              <w:rPr>
                <w:rFonts w:asciiTheme="majorEastAsia" w:hAnsiTheme="majorEastAsia" w:eastAsiaTheme="majorEastAsia" w:cstheme="majorEastAsia"/>
                <w:color w:val="auto"/>
                <w:sz w:val="24"/>
                <w:szCs w:val="24"/>
                <w:highlight w:val="none"/>
              </w:rPr>
              <w:t>培训内容</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②</w:t>
            </w:r>
            <w:r>
              <w:rPr>
                <w:rFonts w:asciiTheme="majorEastAsia" w:hAnsiTheme="majorEastAsia" w:eastAsiaTheme="majorEastAsia" w:cstheme="majorEastAsia"/>
                <w:color w:val="auto"/>
                <w:sz w:val="24"/>
                <w:szCs w:val="24"/>
                <w:highlight w:val="none"/>
              </w:rPr>
              <w:t>培训方式</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③</w:t>
            </w:r>
            <w:r>
              <w:rPr>
                <w:rFonts w:asciiTheme="majorEastAsia" w:hAnsiTheme="majorEastAsia" w:eastAsiaTheme="majorEastAsia" w:cstheme="majorEastAsia"/>
                <w:color w:val="auto"/>
                <w:sz w:val="24"/>
                <w:szCs w:val="24"/>
                <w:highlight w:val="none"/>
              </w:rPr>
              <w:t>培训计划</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④</w:t>
            </w:r>
            <w:r>
              <w:rPr>
                <w:rFonts w:asciiTheme="majorEastAsia" w:hAnsiTheme="majorEastAsia" w:eastAsiaTheme="majorEastAsia" w:cstheme="majorEastAsia"/>
                <w:color w:val="auto"/>
                <w:sz w:val="24"/>
                <w:szCs w:val="24"/>
                <w:highlight w:val="none"/>
              </w:rPr>
              <w:t>培训团队人员配置</w:t>
            </w:r>
            <w:r>
              <w:rPr>
                <w:color w:val="auto"/>
                <w:sz w:val="24"/>
                <w:szCs w:val="24"/>
                <w:highlight w:val="none"/>
              </w:rPr>
              <w:t>等</w:t>
            </w:r>
            <w:r>
              <w:rPr>
                <w:rFonts w:hint="eastAsia"/>
                <w:color w:val="auto"/>
                <w:sz w:val="24"/>
                <w:szCs w:val="24"/>
                <w:highlight w:val="none"/>
              </w:rPr>
              <w:t>4项内容，方案内容完整齐全，符合项目实际的，得8分；每缺少一项方案内容，扣2分</w:t>
            </w:r>
            <w:r>
              <w:rPr>
                <w:rFonts w:hint="eastAsia"/>
                <w:color w:val="auto"/>
                <w:sz w:val="24"/>
                <w:szCs w:val="24"/>
                <w:highlight w:val="none"/>
                <w:lang w:eastAsia="zh-CN"/>
              </w:rPr>
              <w:t>；</w:t>
            </w:r>
            <w:r>
              <w:rPr>
                <w:rFonts w:hint="eastAsia"/>
                <w:color w:val="auto"/>
                <w:sz w:val="24"/>
                <w:szCs w:val="24"/>
                <w:highlight w:val="none"/>
                <w:lang w:val="en-US" w:eastAsia="zh-CN"/>
              </w:rPr>
              <w:t>每有</w:t>
            </w:r>
            <w:r>
              <w:rPr>
                <w:rFonts w:hint="eastAsia"/>
                <w:color w:val="auto"/>
                <w:sz w:val="24"/>
                <w:szCs w:val="24"/>
                <w:highlight w:val="none"/>
              </w:rPr>
              <w:t>一项内容存在缺陷的，扣</w:t>
            </w:r>
            <w:r>
              <w:rPr>
                <w:rFonts w:hint="eastAsia"/>
                <w:color w:val="auto"/>
                <w:sz w:val="24"/>
                <w:szCs w:val="24"/>
                <w:highlight w:val="none"/>
                <w:lang w:val="en-US" w:eastAsia="zh-CN"/>
              </w:rPr>
              <w:t>1</w:t>
            </w:r>
            <w:r>
              <w:rPr>
                <w:rFonts w:hint="eastAsia"/>
                <w:color w:val="auto"/>
                <w:sz w:val="24"/>
                <w:szCs w:val="24"/>
                <w:highlight w:val="none"/>
              </w:rPr>
              <w:t>分，扣完为止；未提供项目</w:t>
            </w:r>
            <w:r>
              <w:rPr>
                <w:rFonts w:hint="eastAsia" w:asciiTheme="minorEastAsia" w:hAnsiTheme="minorEastAsia" w:eastAsiaTheme="minorEastAsia" w:cstheme="minorEastAsia"/>
                <w:color w:val="auto"/>
                <w:kern w:val="0"/>
                <w:sz w:val="24"/>
                <w:szCs w:val="24"/>
                <w:highlight w:val="none"/>
              </w:rPr>
              <w:t>技术培训</w:t>
            </w:r>
            <w:r>
              <w:rPr>
                <w:rFonts w:hint="eastAsia"/>
                <w:color w:val="auto"/>
                <w:sz w:val="24"/>
                <w:szCs w:val="24"/>
                <w:highlight w:val="none"/>
              </w:rPr>
              <w:t>方案的，此项不得分。</w:t>
            </w:r>
          </w:p>
          <w:p w14:paraId="23B82490">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6A5F69B9">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r>
      <w:tr w14:paraId="17FBC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7" w:hRule="atLeast"/>
          <w:jc w:val="center"/>
        </w:trPr>
        <w:tc>
          <w:tcPr>
            <w:tcW w:w="1097" w:type="dxa"/>
            <w:vMerge w:val="continue"/>
            <w:tcMar>
              <w:top w:w="15" w:type="dxa"/>
              <w:left w:w="15" w:type="dxa"/>
              <w:right w:w="15" w:type="dxa"/>
            </w:tcMar>
            <w:vAlign w:val="center"/>
          </w:tcPr>
          <w:p w14:paraId="4E56B023">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6EB01C42">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14:paraId="7538FF3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26A4E3B0">
            <w:pPr>
              <w:widowControl/>
              <w:spacing w:line="400" w:lineRule="exact"/>
              <w:ind w:firstLine="480" w:firstLineChars="200"/>
              <w:rPr>
                <w:color w:val="auto"/>
                <w:sz w:val="24"/>
                <w:szCs w:val="24"/>
                <w:highlight w:val="none"/>
              </w:rPr>
            </w:pPr>
            <w:r>
              <w:rPr>
                <w:rFonts w:hint="eastAsia"/>
                <w:color w:val="auto"/>
                <w:sz w:val="24"/>
                <w:szCs w:val="24"/>
                <w:highlight w:val="none"/>
              </w:rPr>
              <w:t>根据供应商提供的售后服务方案进行评分：</w:t>
            </w:r>
          </w:p>
          <w:p w14:paraId="1EBF9BA6">
            <w:pPr>
              <w:widowControl/>
              <w:spacing w:line="400" w:lineRule="exact"/>
              <w:ind w:firstLine="480" w:firstLineChars="200"/>
              <w:rPr>
                <w:color w:val="auto"/>
                <w:sz w:val="24"/>
                <w:szCs w:val="24"/>
                <w:highlight w:val="none"/>
              </w:rPr>
            </w:pPr>
            <w:r>
              <w:rPr>
                <w:rFonts w:hint="eastAsia"/>
                <w:color w:val="auto"/>
                <w:sz w:val="24"/>
                <w:szCs w:val="24"/>
                <w:highlight w:val="none"/>
              </w:rPr>
              <w:t>项目售后服务方案包括但不限于①</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②</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③</w:t>
            </w:r>
            <w:r>
              <w:rPr>
                <w:rFonts w:asciiTheme="majorEastAsia" w:hAnsiTheme="majorEastAsia" w:eastAsiaTheme="majorEastAsia" w:cstheme="majorEastAsia"/>
                <w:color w:val="auto"/>
                <w:sz w:val="24"/>
                <w:szCs w:val="24"/>
                <w:highlight w:val="none"/>
              </w:rPr>
              <w:t>备件（易耗品）供应方案</w:t>
            </w:r>
            <w:r>
              <w:rPr>
                <w:rFonts w:hint="eastAsia" w:asciiTheme="majorEastAsia" w:hAnsiTheme="majorEastAsia" w:eastAsiaTheme="majorEastAsia" w:cstheme="majorEastAsia"/>
                <w:color w:val="auto"/>
                <w:sz w:val="24"/>
                <w:szCs w:val="24"/>
                <w:highlight w:val="none"/>
              </w:rPr>
              <w:t>（含备件清单及价格）</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④</w:t>
            </w:r>
            <w:r>
              <w:rPr>
                <w:rFonts w:asciiTheme="majorEastAsia" w:hAnsiTheme="majorEastAsia" w:eastAsiaTheme="majorEastAsia" w:cstheme="majorEastAsia"/>
                <w:color w:val="auto"/>
                <w:sz w:val="24"/>
                <w:szCs w:val="24"/>
                <w:highlight w:val="none"/>
              </w:rPr>
              <w:t>服务人员配备</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⑤</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⑥</w:t>
            </w:r>
            <w:r>
              <w:rPr>
                <w:rFonts w:asciiTheme="majorEastAsia" w:hAnsiTheme="majorEastAsia" w:eastAsiaTheme="majorEastAsia" w:cstheme="majorEastAsia"/>
                <w:color w:val="auto"/>
                <w:sz w:val="24"/>
                <w:szCs w:val="24"/>
                <w:highlight w:val="none"/>
              </w:rPr>
              <w:t>质保外服务措施</w:t>
            </w:r>
            <w:r>
              <w:rPr>
                <w:color w:val="auto"/>
                <w:sz w:val="24"/>
                <w:szCs w:val="24"/>
                <w:highlight w:val="none"/>
              </w:rPr>
              <w:t>等</w:t>
            </w:r>
            <w:r>
              <w:rPr>
                <w:rFonts w:hint="eastAsia"/>
                <w:color w:val="auto"/>
                <w:sz w:val="24"/>
                <w:szCs w:val="24"/>
                <w:highlight w:val="none"/>
              </w:rPr>
              <w:t>6项内容，方案内容完整齐全，符合项目实际的，得18分；每缺少一项方案内容，扣</w:t>
            </w:r>
            <w:r>
              <w:rPr>
                <w:rFonts w:hint="eastAsia"/>
                <w:color w:val="auto"/>
                <w:sz w:val="24"/>
                <w:szCs w:val="24"/>
                <w:highlight w:val="none"/>
                <w:lang w:val="en-US" w:eastAsia="zh-CN"/>
              </w:rPr>
              <w:t>3</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每有</w:t>
            </w:r>
            <w:r>
              <w:rPr>
                <w:rFonts w:hint="eastAsia"/>
                <w:color w:val="auto"/>
                <w:sz w:val="24"/>
                <w:szCs w:val="24"/>
                <w:highlight w:val="none"/>
              </w:rPr>
              <w:t>一项内容存在缺陷的，扣</w:t>
            </w:r>
            <w:r>
              <w:rPr>
                <w:rFonts w:hint="eastAsia"/>
                <w:color w:val="auto"/>
                <w:sz w:val="24"/>
                <w:szCs w:val="24"/>
                <w:highlight w:val="none"/>
                <w:lang w:val="en-US" w:eastAsia="zh-CN"/>
              </w:rPr>
              <w:t>1.5</w:t>
            </w:r>
            <w:r>
              <w:rPr>
                <w:rFonts w:hint="eastAsia"/>
                <w:color w:val="auto"/>
                <w:sz w:val="24"/>
                <w:szCs w:val="24"/>
                <w:highlight w:val="none"/>
              </w:rPr>
              <w:t>分，扣完为止；未提供项目</w:t>
            </w:r>
            <w:r>
              <w:rPr>
                <w:rFonts w:hint="eastAsia" w:asciiTheme="minorEastAsia" w:hAnsiTheme="minorEastAsia" w:eastAsiaTheme="minorEastAsia" w:cstheme="minorEastAsia"/>
                <w:color w:val="auto"/>
                <w:kern w:val="0"/>
                <w:sz w:val="24"/>
                <w:szCs w:val="24"/>
                <w:highlight w:val="none"/>
              </w:rPr>
              <w:t>售后服务</w:t>
            </w:r>
            <w:r>
              <w:rPr>
                <w:rFonts w:hint="eastAsia"/>
                <w:color w:val="auto"/>
                <w:sz w:val="24"/>
                <w:szCs w:val="24"/>
                <w:highlight w:val="none"/>
              </w:rPr>
              <w:t>方案的，此项不得分。</w:t>
            </w:r>
          </w:p>
          <w:p w14:paraId="37C2F86F">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4DC19EF4">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w:t>
            </w:r>
          </w:p>
        </w:tc>
      </w:tr>
      <w:tr w14:paraId="08410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430" w:type="dxa"/>
            <w:gridSpan w:val="4"/>
            <w:tcMar>
              <w:top w:w="15" w:type="dxa"/>
              <w:left w:w="15" w:type="dxa"/>
              <w:right w:w="15" w:type="dxa"/>
            </w:tcMar>
            <w:vAlign w:val="center"/>
          </w:tcPr>
          <w:p w14:paraId="3226741B">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14:paraId="42B4501F">
      <w:pPr>
        <w:rPr>
          <w:color w:val="auto"/>
          <w:highlight w:val="none"/>
        </w:rPr>
      </w:pPr>
      <w:r>
        <w:rPr>
          <w:color w:val="auto"/>
          <w:highlight w:val="none"/>
        </w:rPr>
        <w:br w:type="page"/>
      </w:r>
    </w:p>
    <w:p w14:paraId="1A729A6B">
      <w:pPr>
        <w:pStyle w:val="3"/>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7"/>
    <w:bookmarkEnd w:id="18"/>
    <w:bookmarkEnd w:id="19"/>
    <w:bookmarkEnd w:id="20"/>
    <w:bookmarkEnd w:id="21"/>
    <w:bookmarkEnd w:id="22"/>
    <w:bookmarkEnd w:id="67"/>
    <w:p w14:paraId="399AB697">
      <w:pPr>
        <w:spacing w:line="400" w:lineRule="exact"/>
        <w:ind w:firstLine="480" w:firstLineChars="200"/>
        <w:rPr>
          <w:rFonts w:asciiTheme="minorEastAsia" w:hAnsiTheme="minorEastAsia" w:eastAsiaTheme="minorEastAsia" w:cstheme="minorEastAsia"/>
          <w:color w:val="auto"/>
          <w:sz w:val="24"/>
          <w:szCs w:val="24"/>
          <w:highlight w:val="none"/>
        </w:rPr>
      </w:pPr>
      <w:bookmarkStart w:id="134" w:name="_Toc12223"/>
      <w:bookmarkStart w:id="135" w:name="_Toc26728"/>
      <w:bookmarkStart w:id="136" w:name="_Toc15450"/>
      <w:bookmarkStart w:id="137" w:name="_Toc479757211"/>
      <w:bookmarkStart w:id="138" w:name="_Toc16938590"/>
      <w:bookmarkStart w:id="139" w:name="_Toc20823346"/>
      <w:bookmarkStart w:id="140" w:name="_Toc120614244"/>
      <w:bookmarkStart w:id="141" w:name="_Hlt16619350"/>
      <w:bookmarkStart w:id="142" w:name="_Toc462564139"/>
      <w:bookmarkStart w:id="143" w:name="_Toc9411"/>
      <w:bookmarkStart w:id="144" w:name="_Toc17639"/>
      <w:bookmarkStart w:id="145" w:name="_Toc31151"/>
      <w:r>
        <w:rPr>
          <w:rFonts w:hint="eastAsia" w:asciiTheme="minorEastAsia" w:hAnsiTheme="minorEastAsia" w:eastAsiaTheme="minorEastAsia" w:cstheme="minorEastAsia"/>
          <w:color w:val="auto"/>
          <w:sz w:val="24"/>
          <w:szCs w:val="24"/>
          <w:highlight w:val="none"/>
        </w:rPr>
        <w:t>1.小微型企业价格扣除</w:t>
      </w:r>
    </w:p>
    <w:p w14:paraId="7F5B8FC6">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rPr>
        <w:t>本项目供应商所提供货物的制造商应全部为中型、小型、微型企业。</w:t>
      </w:r>
    </w:p>
    <w:p w14:paraId="76A7A5B9">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（2）供应商需按照采购文件的要求提供相应的《中小企业声明函》。</w:t>
      </w:r>
    </w:p>
    <w:p w14:paraId="188DA1B8">
      <w:pPr>
        <w:spacing w:line="400" w:lineRule="exact"/>
        <w:ind w:firstLine="480" w:firstLineChars="200"/>
        <w:rPr>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14:paraId="0C81DEE6">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14:paraId="6D50C2DE">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（1）本项目对残疾人福利性单位视同小型、微型企业，给予10%的价格扣除，用扣除后的价格参与评审。</w:t>
      </w:r>
    </w:p>
    <w:p w14:paraId="4E50AA05">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14:paraId="079766E6">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14:paraId="56533A4E">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14:paraId="51F09761">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（1）本项目监狱和戒毒企业（简称监狱企业）视同小型、微型企业，给予10%的价格扣除，用扣除后的价格参与评审。</w:t>
      </w:r>
    </w:p>
    <w:p w14:paraId="15EC444D">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404EC35">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14:paraId="6BE66380">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14:paraId="008412D3">
      <w:pPr>
        <w:rPr>
          <w:color w:val="auto"/>
          <w:highlight w:val="none"/>
        </w:rPr>
      </w:pPr>
      <w:r>
        <w:rPr>
          <w:rFonts w:hint="eastAsia"/>
          <w:color w:val="auto"/>
          <w:highlight w:val="none"/>
        </w:rPr>
        <w:br w:type="page"/>
      </w:r>
    </w:p>
    <w:p w14:paraId="65D2DCBA">
      <w:pPr>
        <w:pStyle w:val="2"/>
        <w:rPr>
          <w:color w:val="auto"/>
          <w:highlight w:val="none"/>
        </w:rPr>
      </w:pPr>
      <w:bookmarkStart w:id="146" w:name="_Toc13580"/>
      <w:r>
        <w:rPr>
          <w:rFonts w:hint="eastAsia"/>
          <w:color w:val="auto"/>
          <w:highlight w:val="none"/>
        </w:rPr>
        <w:t>第四章  拟订立的合同样本</w:t>
      </w:r>
      <w:bookmarkEnd w:id="134"/>
      <w:bookmarkEnd w:id="135"/>
      <w:bookmarkEnd w:id="136"/>
      <w:bookmarkEnd w:id="146"/>
    </w:p>
    <w:p w14:paraId="656AAEA0">
      <w:pPr>
        <w:pStyle w:val="30"/>
        <w:jc w:val="center"/>
        <w:rPr>
          <w:color w:val="auto"/>
          <w:highlight w:val="none"/>
        </w:rPr>
      </w:pPr>
      <w:r>
        <w:rPr>
          <w:rFonts w:hint="eastAsia"/>
          <w:color w:val="auto"/>
          <w:highlight w:val="none"/>
        </w:rPr>
        <w:t>（此合同为格式范本，最终合同以双方协商为准）</w:t>
      </w:r>
    </w:p>
    <w:bookmarkEnd w:id="137"/>
    <w:bookmarkEnd w:id="138"/>
    <w:bookmarkEnd w:id="139"/>
    <w:bookmarkEnd w:id="140"/>
    <w:bookmarkEnd w:id="141"/>
    <w:bookmarkEnd w:id="142"/>
    <w:p w14:paraId="48BA1A60">
      <w:pPr>
        <w:rPr>
          <w:b/>
          <w:color w:val="auto"/>
          <w:highlight w:val="none"/>
        </w:rPr>
      </w:pPr>
      <w:bookmarkStart w:id="147" w:name="_Toc20313"/>
    </w:p>
    <w:p w14:paraId="26929E15">
      <w:pPr>
        <w:rPr>
          <w:b/>
          <w:color w:val="auto"/>
          <w:highlight w:val="none"/>
        </w:rPr>
      </w:pPr>
    </w:p>
    <w:p w14:paraId="61C750DC">
      <w:pPr>
        <w:rPr>
          <w:b/>
          <w:color w:val="auto"/>
          <w:highlight w:val="none"/>
        </w:rPr>
      </w:pPr>
    </w:p>
    <w:p w14:paraId="367601D5">
      <w:pPr>
        <w:rPr>
          <w:b/>
          <w:color w:val="auto"/>
          <w:highlight w:val="none"/>
        </w:rPr>
      </w:pPr>
    </w:p>
    <w:p w14:paraId="68311028">
      <w:pPr>
        <w:rPr>
          <w:b/>
          <w:color w:val="auto"/>
          <w:highlight w:val="none"/>
        </w:rPr>
      </w:pPr>
    </w:p>
    <w:p w14:paraId="3D45CF2F">
      <w:pPr>
        <w:rPr>
          <w:b/>
          <w:color w:val="auto"/>
          <w:highlight w:val="none"/>
        </w:rPr>
      </w:pPr>
    </w:p>
    <w:p w14:paraId="3A2A1332">
      <w:pPr>
        <w:rPr>
          <w:rFonts w:ascii="仿宋" w:hAnsi="仿宋" w:eastAsia="仿宋" w:cs="Arial"/>
          <w:b/>
          <w:color w:val="auto"/>
          <w:sz w:val="48"/>
          <w:szCs w:val="48"/>
          <w:highlight w:val="none"/>
        </w:rPr>
      </w:pPr>
      <w:r>
        <w:rPr>
          <w:rFonts w:hint="eastAsia" w:ascii="仿宋" w:hAnsi="仿宋" w:eastAsia="仿宋" w:cs="Arial"/>
          <w:b/>
          <w:color w:val="auto"/>
          <w:sz w:val="48"/>
          <w:szCs w:val="48"/>
          <w:highlight w:val="none"/>
        </w:rPr>
        <w:t>中国石油大学（北京）</w:t>
      </w:r>
    </w:p>
    <w:p w14:paraId="7B2F25D3">
      <w:pPr>
        <w:rPr>
          <w:rFonts w:ascii="仿宋" w:hAnsi="仿宋" w:eastAsia="仿宋" w:cs="Arial"/>
          <w:b/>
          <w:color w:val="auto"/>
          <w:sz w:val="48"/>
          <w:szCs w:val="48"/>
          <w:highlight w:val="none"/>
        </w:rPr>
      </w:pPr>
    </w:p>
    <w:p w14:paraId="5ACB067D">
      <w:pPr>
        <w:rPr>
          <w:rFonts w:ascii="仿宋" w:hAnsi="仿宋" w:eastAsia="仿宋" w:cs="Arial"/>
          <w:b/>
          <w:color w:val="auto"/>
          <w:sz w:val="48"/>
          <w:szCs w:val="48"/>
          <w:highlight w:val="none"/>
        </w:rPr>
      </w:pPr>
      <w:r>
        <w:rPr>
          <w:rFonts w:ascii="仿宋" w:hAnsi="仿宋" w:eastAsia="仿宋" w:cs="Arial"/>
          <w:b/>
          <w:color w:val="auto"/>
          <w:sz w:val="48"/>
          <w:szCs w:val="48"/>
          <w:highlight w:val="none"/>
          <w:u w:val="single"/>
        </w:rPr>
        <w:t xml:space="preserve">                            </w:t>
      </w:r>
      <w:r>
        <w:rPr>
          <w:rFonts w:hint="eastAsia" w:ascii="仿宋" w:hAnsi="仿宋" w:eastAsia="仿宋" w:cs="Arial"/>
          <w:b/>
          <w:color w:val="auto"/>
          <w:sz w:val="48"/>
          <w:szCs w:val="48"/>
          <w:highlight w:val="none"/>
        </w:rPr>
        <w:t>合同</w:t>
      </w:r>
    </w:p>
    <w:p w14:paraId="39C4C68C">
      <w:pPr>
        <w:rPr>
          <w:rFonts w:ascii="仿宋" w:hAnsi="仿宋" w:eastAsia="仿宋" w:cs="Arial"/>
          <w:b/>
          <w:color w:val="auto"/>
          <w:sz w:val="48"/>
          <w:szCs w:val="48"/>
          <w:highlight w:val="none"/>
        </w:rPr>
      </w:pPr>
      <w:r>
        <w:rPr>
          <w:rFonts w:ascii="仿宋" w:hAnsi="仿宋" w:eastAsia="仿宋" w:cs="Arial"/>
          <w:b/>
          <w:color w:val="auto"/>
          <w:sz w:val="48"/>
          <w:szCs w:val="48"/>
          <w:highlight w:val="none"/>
        </w:rPr>
        <w:t xml:space="preserve">               </w:t>
      </w:r>
    </w:p>
    <w:p w14:paraId="4D01BA3B">
      <w:pPr>
        <w:jc w:val="center"/>
        <w:rPr>
          <w:rFonts w:ascii="仿宋" w:hAnsi="仿宋" w:eastAsia="仿宋" w:cs="Arial"/>
          <w:b/>
          <w:color w:val="auto"/>
          <w:sz w:val="48"/>
          <w:szCs w:val="48"/>
          <w:highlight w:val="none"/>
        </w:rPr>
      </w:pPr>
    </w:p>
    <w:p w14:paraId="56524D50">
      <w:pPr>
        <w:jc w:val="center"/>
        <w:rPr>
          <w:rFonts w:ascii="仿宋" w:hAnsi="仿宋" w:eastAsia="仿宋" w:cs="Arial"/>
          <w:b/>
          <w:color w:val="auto"/>
          <w:sz w:val="48"/>
          <w:szCs w:val="48"/>
          <w:highlight w:val="none"/>
        </w:rPr>
      </w:pPr>
    </w:p>
    <w:p w14:paraId="2E6CD4C6">
      <w:pPr>
        <w:jc w:val="center"/>
        <w:rPr>
          <w:rFonts w:ascii="仿宋" w:hAnsi="仿宋" w:eastAsia="仿宋" w:cs="Arial"/>
          <w:b/>
          <w:color w:val="auto"/>
          <w:sz w:val="48"/>
          <w:szCs w:val="48"/>
          <w:highlight w:val="none"/>
        </w:rPr>
      </w:pPr>
    </w:p>
    <w:p w14:paraId="202B7A30">
      <w:pPr>
        <w:jc w:val="center"/>
        <w:rPr>
          <w:rFonts w:ascii="仿宋" w:hAnsi="仿宋" w:eastAsia="仿宋" w:cs="Arial"/>
          <w:b/>
          <w:color w:val="auto"/>
          <w:sz w:val="48"/>
          <w:szCs w:val="48"/>
          <w:highlight w:val="none"/>
        </w:rPr>
      </w:pPr>
    </w:p>
    <w:p w14:paraId="3EFB3723">
      <w:pPr>
        <w:jc w:val="center"/>
        <w:rPr>
          <w:rFonts w:ascii="仿宋" w:hAnsi="仿宋" w:eastAsia="仿宋" w:cs="Arial"/>
          <w:b/>
          <w:color w:val="auto"/>
          <w:sz w:val="48"/>
          <w:szCs w:val="48"/>
          <w:highlight w:val="none"/>
        </w:rPr>
      </w:pPr>
    </w:p>
    <w:p w14:paraId="467F204B">
      <w:pPr>
        <w:jc w:val="center"/>
        <w:rPr>
          <w:rFonts w:ascii="仿宋" w:hAnsi="仿宋" w:eastAsia="仿宋" w:cs="Arial"/>
          <w:b/>
          <w:color w:val="auto"/>
          <w:sz w:val="48"/>
          <w:szCs w:val="48"/>
          <w:highlight w:val="none"/>
        </w:rPr>
      </w:pPr>
    </w:p>
    <w:p w14:paraId="1606AA46">
      <w:pPr>
        <w:jc w:val="center"/>
        <w:rPr>
          <w:rFonts w:ascii="仿宋" w:hAnsi="仿宋" w:eastAsia="仿宋" w:cs="Arial"/>
          <w:b/>
          <w:color w:val="auto"/>
          <w:sz w:val="48"/>
          <w:szCs w:val="48"/>
          <w:highlight w:val="none"/>
        </w:rPr>
      </w:pPr>
    </w:p>
    <w:p w14:paraId="18BF0EC8">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甲</w:t>
      </w:r>
      <w:r>
        <w:rPr>
          <w:rFonts w:ascii="仿宋" w:hAnsi="仿宋" w:eastAsia="仿宋" w:cs="Arial"/>
          <w:b/>
          <w:color w:val="auto"/>
          <w:sz w:val="36"/>
          <w:szCs w:val="36"/>
          <w:highlight w:val="none"/>
        </w:rPr>
        <w:t>方：</w:t>
      </w:r>
      <w:r>
        <w:rPr>
          <w:rFonts w:hint="eastAsia" w:ascii="仿宋" w:hAnsi="仿宋" w:eastAsia="仿宋" w:cs="Arial"/>
          <w:b/>
          <w:color w:val="auto"/>
          <w:sz w:val="36"/>
          <w:szCs w:val="36"/>
          <w:highlight w:val="none"/>
        </w:rPr>
        <w:t>中国石油大学（北京）</w:t>
      </w:r>
    </w:p>
    <w:p w14:paraId="74A6CFD7">
      <w:pPr>
        <w:jc w:val="center"/>
        <w:rPr>
          <w:rFonts w:ascii="仿宋" w:hAnsi="仿宋" w:eastAsia="仿宋" w:cs="Arial"/>
          <w:b/>
          <w:color w:val="auto"/>
          <w:sz w:val="36"/>
          <w:szCs w:val="36"/>
          <w:highlight w:val="none"/>
        </w:rPr>
      </w:pPr>
    </w:p>
    <w:p w14:paraId="3E806C5B">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乙</w:t>
      </w:r>
      <w:r>
        <w:rPr>
          <w:rFonts w:ascii="仿宋" w:hAnsi="仿宋" w:eastAsia="仿宋" w:cs="Arial"/>
          <w:b/>
          <w:color w:val="auto"/>
          <w:sz w:val="36"/>
          <w:szCs w:val="36"/>
          <w:highlight w:val="none"/>
        </w:rPr>
        <w:t>方：</w:t>
      </w:r>
      <w:r>
        <w:rPr>
          <w:rFonts w:hint="eastAsia" w:ascii="仿宋" w:hAnsi="仿宋" w:eastAsia="仿宋" w:cs="Arial"/>
          <w:b/>
          <w:color w:val="auto"/>
          <w:sz w:val="36"/>
          <w:highlight w:val="none"/>
          <w:u w:val="single"/>
        </w:rPr>
        <w:t xml:space="preserve"> </w:t>
      </w:r>
      <w:r>
        <w:rPr>
          <w:rFonts w:ascii="仿宋" w:hAnsi="仿宋" w:eastAsia="仿宋" w:cs="Arial"/>
          <w:b/>
          <w:color w:val="auto"/>
          <w:sz w:val="36"/>
          <w:highlight w:val="none"/>
          <w:u w:val="single"/>
        </w:rPr>
        <w:t xml:space="preserve">                               </w:t>
      </w:r>
      <w:r>
        <w:rPr>
          <w:rFonts w:hint="eastAsia" w:ascii="仿宋" w:hAnsi="仿宋" w:eastAsia="仿宋" w:cs="Arial"/>
          <w:b/>
          <w:color w:val="auto"/>
          <w:sz w:val="36"/>
          <w:szCs w:val="36"/>
          <w:highlight w:val="none"/>
        </w:rPr>
        <w:t xml:space="preserve">  </w:t>
      </w:r>
      <w:r>
        <w:rPr>
          <w:rFonts w:ascii="仿宋" w:hAnsi="仿宋" w:eastAsia="仿宋" w:cs="Arial"/>
          <w:b/>
          <w:color w:val="auto"/>
          <w:sz w:val="36"/>
          <w:szCs w:val="36"/>
          <w:highlight w:val="none"/>
        </w:rPr>
        <w:t xml:space="preserve">                              </w:t>
      </w:r>
    </w:p>
    <w:p w14:paraId="5FC9C5A2">
      <w:pPr>
        <w:jc w:val="center"/>
        <w:rPr>
          <w:rFonts w:ascii="仿宋" w:hAnsi="仿宋" w:eastAsia="仿宋" w:cs="Arial"/>
          <w:b/>
          <w:color w:val="auto"/>
          <w:sz w:val="36"/>
          <w:szCs w:val="36"/>
          <w:highlight w:val="none"/>
        </w:rPr>
      </w:pPr>
    </w:p>
    <w:p w14:paraId="5AAFCB3D">
      <w:pPr>
        <w:jc w:val="center"/>
        <w:rPr>
          <w:rFonts w:ascii="仿宋" w:hAnsi="仿宋" w:eastAsia="仿宋" w:cs="Arial"/>
          <w:b/>
          <w:color w:val="auto"/>
          <w:sz w:val="36"/>
          <w:szCs w:val="36"/>
          <w:highlight w:val="none"/>
        </w:rPr>
      </w:pPr>
      <w:r>
        <w:rPr>
          <w:rFonts w:ascii="仿宋" w:hAnsi="仿宋" w:eastAsia="仿宋" w:cs="Arial"/>
          <w:b/>
          <w:color w:val="auto"/>
          <w:sz w:val="36"/>
          <w:szCs w:val="36"/>
          <w:highlight w:val="none"/>
        </w:rPr>
        <w:t>二零</w:t>
      </w:r>
      <w:r>
        <w:rPr>
          <w:rFonts w:hint="eastAsia" w:ascii="仿宋" w:hAnsi="仿宋" w:eastAsia="仿宋" w:cs="Arial"/>
          <w:b/>
          <w:color w:val="auto"/>
          <w:sz w:val="36"/>
          <w:szCs w:val="36"/>
          <w:highlight w:val="none"/>
        </w:rPr>
        <w:t xml:space="preserve"> </w:t>
      </w:r>
      <w:r>
        <w:rPr>
          <w:rFonts w:ascii="仿宋" w:hAnsi="仿宋" w:eastAsia="仿宋" w:cs="Arial"/>
          <w:b/>
          <w:color w:val="auto"/>
          <w:sz w:val="36"/>
          <w:szCs w:val="36"/>
          <w:highlight w:val="none"/>
        </w:rPr>
        <w:t xml:space="preserve">   年    月</w:t>
      </w:r>
    </w:p>
    <w:p w14:paraId="2514D8E0">
      <w:pPr>
        <w:jc w:val="center"/>
        <w:rPr>
          <w:rFonts w:ascii="宋体" w:hAnsi="宋体"/>
          <w:b/>
          <w:color w:val="auto"/>
          <w:sz w:val="32"/>
          <w:szCs w:val="32"/>
          <w:highlight w:val="none"/>
        </w:rPr>
      </w:pPr>
      <w:r>
        <w:rPr>
          <w:rFonts w:ascii="仿宋" w:hAnsi="仿宋" w:eastAsia="仿宋" w:cs="Arial"/>
          <w:b/>
          <w:color w:val="auto"/>
          <w:sz w:val="36"/>
          <w:szCs w:val="36"/>
          <w:highlight w:val="none"/>
        </w:rPr>
        <w:br w:type="page"/>
      </w:r>
      <w:r>
        <w:rPr>
          <w:rFonts w:hint="eastAsia" w:ascii="宋体" w:hAnsi="宋体"/>
          <w:b/>
          <w:color w:val="auto"/>
          <w:sz w:val="32"/>
          <w:szCs w:val="32"/>
          <w:highlight w:val="none"/>
        </w:rPr>
        <w:t>中国石油大学（北京）采购合同</w:t>
      </w:r>
    </w:p>
    <w:p w14:paraId="2BD0CA9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需方(甲方)</w:t>
      </w:r>
      <w:r>
        <w:rPr>
          <w:rFonts w:hint="eastAsia" w:ascii="宋体" w:hAnsi="宋体"/>
          <w:color w:val="auto"/>
          <w:sz w:val="24"/>
          <w:highlight w:val="none"/>
          <w:u w:val="single"/>
        </w:rPr>
        <w:t>中国石油大学（北京）</w:t>
      </w:r>
      <w:r>
        <w:rPr>
          <w:rFonts w:hint="eastAsia" w:ascii="宋体" w:hAnsi="宋体"/>
          <w:color w:val="auto"/>
          <w:sz w:val="24"/>
          <w:highlight w:val="none"/>
        </w:rPr>
        <w:t xml:space="preserve">    </w:t>
      </w:r>
    </w:p>
    <w:p w14:paraId="03F7D13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供方(乙方)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5521780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合同编号：</w:t>
      </w:r>
    </w:p>
    <w:p w14:paraId="000690F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签订地点：克拉玛依</w:t>
      </w:r>
    </w:p>
    <w:p w14:paraId="16F4273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合同履行期限：   年    月    日----</w:t>
      </w:r>
      <w:r>
        <w:rPr>
          <w:rFonts w:ascii="宋体" w:hAnsi="宋体"/>
          <w:color w:val="auto"/>
          <w:sz w:val="24"/>
          <w:highlight w:val="none"/>
        </w:rPr>
        <w:t xml:space="preserve">    </w:t>
      </w:r>
      <w:r>
        <w:rPr>
          <w:rFonts w:hint="eastAsia" w:ascii="宋体" w:hAnsi="宋体"/>
          <w:color w:val="auto"/>
          <w:sz w:val="24"/>
          <w:highlight w:val="none"/>
        </w:rPr>
        <w:t xml:space="preserve">年    月    日 </w:t>
      </w:r>
    </w:p>
    <w:p w14:paraId="2F90B6B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甲方XXXX项目，根据XXXXX方式确定乙方为本项目最终供货商。依据《中华人民共和国民法典》，现甲乙双方协商一致，签订如下合同条款，双方承诺遵照执行：</w:t>
      </w:r>
    </w:p>
    <w:p w14:paraId="5DBE0374">
      <w:pPr>
        <w:numPr>
          <w:ilvl w:val="0"/>
          <w:numId w:val="7"/>
        </w:numPr>
        <w:spacing w:line="620" w:lineRule="exact"/>
        <w:rPr>
          <w:rFonts w:ascii="宋体" w:hAnsi="宋体"/>
          <w:color w:val="auto"/>
          <w:sz w:val="24"/>
          <w:highlight w:val="none"/>
        </w:rPr>
      </w:pPr>
      <w:r>
        <w:rPr>
          <w:rFonts w:hint="eastAsia" w:ascii="宋体" w:hAnsi="宋体"/>
          <w:b/>
          <w:color w:val="auto"/>
          <w:sz w:val="24"/>
          <w:highlight w:val="none"/>
        </w:rPr>
        <w:t>产品名称（型号）、制造商名称、数量及价格</w:t>
      </w:r>
      <w:r>
        <w:rPr>
          <w:rFonts w:hint="eastAsia" w:ascii="宋体" w:hAnsi="宋体"/>
          <w:color w:val="auto"/>
          <w:sz w:val="24"/>
          <w:highlight w:val="none"/>
        </w:rPr>
        <w:t>：</w:t>
      </w:r>
    </w:p>
    <w:p w14:paraId="5D976EA0">
      <w:pPr>
        <w:spacing w:line="620" w:lineRule="exact"/>
        <w:rPr>
          <w:rFonts w:ascii="宋体" w:hAnsi="宋体"/>
          <w:color w:val="auto"/>
          <w:sz w:val="24"/>
          <w:highlight w:val="none"/>
        </w:rPr>
      </w:pPr>
      <w:r>
        <w:rPr>
          <w:rFonts w:hint="eastAsia" w:ascii="宋体" w:hAnsi="宋体"/>
          <w:b/>
          <w:color w:val="auto"/>
          <w:sz w:val="24"/>
          <w:highlight w:val="none"/>
        </w:rPr>
        <w:t xml:space="preserve">总价：         </w:t>
      </w:r>
      <w:r>
        <w:rPr>
          <w:rFonts w:ascii="宋体" w:hAnsi="宋体"/>
          <w:b/>
          <w:color w:val="auto"/>
          <w:sz w:val="24"/>
          <w:highlight w:val="none"/>
        </w:rPr>
        <w:t xml:space="preserve">                                         </w:t>
      </w:r>
      <w:r>
        <w:rPr>
          <w:rFonts w:hint="eastAsia" w:ascii="宋体" w:hAnsi="宋体"/>
          <w:b/>
          <w:color w:val="auto"/>
          <w:sz w:val="24"/>
          <w:highlight w:val="none"/>
        </w:rPr>
        <w:t>货币单位：元</w:t>
      </w:r>
    </w:p>
    <w:tbl>
      <w:tblPr>
        <w:tblStyle w:val="39"/>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4"/>
        <w:gridCol w:w="707"/>
        <w:gridCol w:w="1548"/>
        <w:gridCol w:w="1552"/>
        <w:gridCol w:w="1548"/>
        <w:gridCol w:w="1220"/>
      </w:tblGrid>
      <w:tr w14:paraId="1C0D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vAlign w:val="center"/>
          </w:tcPr>
          <w:p w14:paraId="157BE923">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 xml:space="preserve">产品名称 </w:t>
            </w:r>
            <w:r>
              <w:rPr>
                <w:rFonts w:ascii="宋体" w:hAnsi="宋体"/>
                <w:b/>
                <w:color w:val="auto"/>
                <w:sz w:val="24"/>
                <w:highlight w:val="none"/>
              </w:rPr>
              <w:t xml:space="preserve">  </w:t>
            </w:r>
          </w:p>
        </w:tc>
        <w:tc>
          <w:tcPr>
            <w:tcW w:w="707" w:type="dxa"/>
          </w:tcPr>
          <w:p w14:paraId="4DABA49A">
            <w:pPr>
              <w:spacing w:line="620" w:lineRule="exact"/>
              <w:rPr>
                <w:rFonts w:ascii="宋体" w:hAnsi="宋体"/>
                <w:b/>
                <w:color w:val="auto"/>
                <w:sz w:val="24"/>
                <w:highlight w:val="none"/>
              </w:rPr>
            </w:pPr>
            <w:r>
              <w:rPr>
                <w:rFonts w:hint="eastAsia" w:ascii="宋体" w:hAnsi="宋体"/>
                <w:b/>
                <w:color w:val="auto"/>
                <w:sz w:val="24"/>
                <w:highlight w:val="none"/>
              </w:rPr>
              <w:t>型号</w:t>
            </w:r>
          </w:p>
        </w:tc>
        <w:tc>
          <w:tcPr>
            <w:tcW w:w="1548" w:type="dxa"/>
            <w:vAlign w:val="center"/>
          </w:tcPr>
          <w:p w14:paraId="4CD68D53">
            <w:pPr>
              <w:spacing w:line="620" w:lineRule="exact"/>
              <w:rPr>
                <w:rFonts w:ascii="宋体" w:hAnsi="宋体"/>
                <w:b/>
                <w:color w:val="auto"/>
                <w:sz w:val="24"/>
                <w:highlight w:val="none"/>
              </w:rPr>
            </w:pPr>
            <w:r>
              <w:rPr>
                <w:rFonts w:hint="eastAsia" w:ascii="宋体" w:hAnsi="宋体"/>
                <w:b/>
                <w:color w:val="auto"/>
                <w:sz w:val="24"/>
                <w:highlight w:val="none"/>
              </w:rPr>
              <w:t>制造商名称</w:t>
            </w:r>
          </w:p>
        </w:tc>
        <w:tc>
          <w:tcPr>
            <w:tcW w:w="1552" w:type="dxa"/>
            <w:vAlign w:val="center"/>
          </w:tcPr>
          <w:p w14:paraId="5DF879C6">
            <w:pPr>
              <w:spacing w:line="620" w:lineRule="exact"/>
              <w:rPr>
                <w:rFonts w:ascii="宋体" w:hAnsi="宋体"/>
                <w:b/>
                <w:color w:val="auto"/>
                <w:sz w:val="24"/>
                <w:highlight w:val="none"/>
              </w:rPr>
            </w:pPr>
            <w:r>
              <w:rPr>
                <w:rFonts w:hint="eastAsia" w:ascii="宋体" w:hAnsi="宋体"/>
                <w:b/>
                <w:color w:val="auto"/>
                <w:sz w:val="24"/>
                <w:highlight w:val="none"/>
              </w:rPr>
              <w:t>数量/单位</w:t>
            </w:r>
          </w:p>
        </w:tc>
        <w:tc>
          <w:tcPr>
            <w:tcW w:w="1548" w:type="dxa"/>
            <w:vAlign w:val="center"/>
          </w:tcPr>
          <w:p w14:paraId="20648BDB">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单价</w:t>
            </w:r>
          </w:p>
        </w:tc>
        <w:tc>
          <w:tcPr>
            <w:tcW w:w="1220" w:type="dxa"/>
            <w:vAlign w:val="center"/>
          </w:tcPr>
          <w:p w14:paraId="4C560BC0">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合计</w:t>
            </w:r>
          </w:p>
        </w:tc>
      </w:tr>
      <w:tr w14:paraId="4F0C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vAlign w:val="center"/>
          </w:tcPr>
          <w:p w14:paraId="5463F7AD">
            <w:pPr>
              <w:spacing w:line="620" w:lineRule="exact"/>
              <w:ind w:firstLine="480" w:firstLineChars="200"/>
              <w:rPr>
                <w:rFonts w:ascii="宋体" w:hAnsi="宋体"/>
                <w:color w:val="auto"/>
                <w:sz w:val="24"/>
                <w:highlight w:val="none"/>
              </w:rPr>
            </w:pPr>
          </w:p>
        </w:tc>
        <w:tc>
          <w:tcPr>
            <w:tcW w:w="707" w:type="dxa"/>
          </w:tcPr>
          <w:p w14:paraId="1A219CAA">
            <w:pPr>
              <w:spacing w:line="620" w:lineRule="exact"/>
              <w:ind w:firstLine="480" w:firstLineChars="200"/>
              <w:rPr>
                <w:rFonts w:ascii="宋体" w:hAnsi="宋体"/>
                <w:color w:val="auto"/>
                <w:sz w:val="24"/>
                <w:highlight w:val="none"/>
              </w:rPr>
            </w:pPr>
          </w:p>
        </w:tc>
        <w:tc>
          <w:tcPr>
            <w:tcW w:w="1548" w:type="dxa"/>
            <w:vAlign w:val="center"/>
          </w:tcPr>
          <w:p w14:paraId="1683E00E">
            <w:pPr>
              <w:spacing w:line="620" w:lineRule="exact"/>
              <w:ind w:firstLine="480" w:firstLineChars="200"/>
              <w:rPr>
                <w:rFonts w:ascii="宋体" w:hAnsi="宋体"/>
                <w:color w:val="auto"/>
                <w:sz w:val="24"/>
                <w:highlight w:val="none"/>
              </w:rPr>
            </w:pPr>
          </w:p>
        </w:tc>
        <w:tc>
          <w:tcPr>
            <w:tcW w:w="1552" w:type="dxa"/>
            <w:vAlign w:val="center"/>
          </w:tcPr>
          <w:p w14:paraId="5C3738B3">
            <w:pPr>
              <w:spacing w:line="620" w:lineRule="exact"/>
              <w:ind w:firstLine="480" w:firstLineChars="200"/>
              <w:rPr>
                <w:rFonts w:ascii="宋体" w:hAnsi="宋体"/>
                <w:color w:val="auto"/>
                <w:sz w:val="24"/>
                <w:highlight w:val="none"/>
              </w:rPr>
            </w:pPr>
          </w:p>
        </w:tc>
        <w:tc>
          <w:tcPr>
            <w:tcW w:w="1548" w:type="dxa"/>
            <w:vAlign w:val="center"/>
          </w:tcPr>
          <w:p w14:paraId="4D870D08">
            <w:pPr>
              <w:spacing w:line="620" w:lineRule="exact"/>
              <w:ind w:firstLine="480" w:firstLineChars="200"/>
              <w:rPr>
                <w:rFonts w:ascii="宋体" w:hAnsi="宋体"/>
                <w:color w:val="auto"/>
                <w:sz w:val="24"/>
                <w:highlight w:val="none"/>
              </w:rPr>
            </w:pPr>
          </w:p>
        </w:tc>
        <w:tc>
          <w:tcPr>
            <w:tcW w:w="1220" w:type="dxa"/>
            <w:vAlign w:val="center"/>
          </w:tcPr>
          <w:p w14:paraId="510BDC39">
            <w:pPr>
              <w:spacing w:line="620" w:lineRule="exact"/>
              <w:ind w:firstLine="480" w:firstLineChars="200"/>
              <w:rPr>
                <w:rFonts w:ascii="宋体" w:hAnsi="宋体"/>
                <w:color w:val="auto"/>
                <w:sz w:val="24"/>
                <w:highlight w:val="none"/>
              </w:rPr>
            </w:pPr>
          </w:p>
        </w:tc>
      </w:tr>
      <w:tr w14:paraId="4922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vAlign w:val="bottom"/>
          </w:tcPr>
          <w:p w14:paraId="2815EA0A">
            <w:pPr>
              <w:spacing w:line="620" w:lineRule="exact"/>
              <w:rPr>
                <w:rFonts w:ascii="宋体" w:hAnsi="宋体"/>
                <w:color w:val="auto"/>
                <w:sz w:val="24"/>
                <w:highlight w:val="none"/>
              </w:rPr>
            </w:pPr>
            <w:r>
              <w:rPr>
                <w:rFonts w:hint="eastAsia" w:ascii="宋体" w:hAnsi="宋体"/>
                <w:b/>
                <w:color w:val="auto"/>
                <w:highlight w:val="none"/>
              </w:rPr>
              <w:t>合同总价（含税）</w:t>
            </w:r>
            <w:r>
              <w:rPr>
                <w:rFonts w:hint="eastAsia" w:ascii="宋体" w:hAnsi="宋体"/>
                <w:b/>
                <w:color w:val="auto"/>
                <w:kern w:val="0"/>
                <w:highlight w:val="none"/>
              </w:rPr>
              <w:t>（包含进出口环节的一切费用）</w:t>
            </w:r>
            <w:r>
              <w:rPr>
                <w:rFonts w:hint="eastAsia" w:ascii="宋体" w:hAnsi="宋体"/>
                <w:b/>
                <w:color w:val="auto"/>
                <w:sz w:val="24"/>
                <w:highlight w:val="none"/>
              </w:rPr>
              <w:t xml:space="preserve">                      </w:t>
            </w:r>
          </w:p>
        </w:tc>
        <w:tc>
          <w:tcPr>
            <w:tcW w:w="3807" w:type="dxa"/>
            <w:gridSpan w:val="3"/>
            <w:vAlign w:val="bottom"/>
          </w:tcPr>
          <w:p w14:paraId="6BC04D28">
            <w:pPr>
              <w:spacing w:line="620" w:lineRule="exact"/>
              <w:jc w:val="left"/>
              <w:rPr>
                <w:rFonts w:ascii="宋体" w:hAnsi="宋体"/>
                <w:color w:val="auto"/>
                <w:sz w:val="24"/>
                <w:highlight w:val="none"/>
              </w:rPr>
            </w:pPr>
            <w:r>
              <w:rPr>
                <w:rFonts w:hint="eastAsia" w:ascii="宋体" w:hAnsi="宋体"/>
                <w:b/>
                <w:color w:val="auto"/>
                <w:sz w:val="24"/>
                <w:highlight w:val="none"/>
              </w:rPr>
              <w:t>（大写）：</w:t>
            </w:r>
          </w:p>
        </w:tc>
        <w:tc>
          <w:tcPr>
            <w:tcW w:w="2768" w:type="dxa"/>
            <w:gridSpan w:val="2"/>
            <w:vAlign w:val="bottom"/>
          </w:tcPr>
          <w:p w14:paraId="4B5CFB54">
            <w:pPr>
              <w:spacing w:line="620" w:lineRule="exact"/>
              <w:rPr>
                <w:rFonts w:ascii="宋体" w:hAnsi="宋体"/>
                <w:color w:val="auto"/>
                <w:sz w:val="24"/>
                <w:highlight w:val="none"/>
              </w:rPr>
            </w:pPr>
            <w:r>
              <w:rPr>
                <w:rFonts w:hint="eastAsia" w:ascii="宋体" w:hAnsi="宋体"/>
                <w:b/>
                <w:color w:val="auto"/>
                <w:sz w:val="24"/>
                <w:highlight w:val="none"/>
              </w:rPr>
              <w:t>（小写）：</w:t>
            </w:r>
          </w:p>
        </w:tc>
      </w:tr>
    </w:tbl>
    <w:p w14:paraId="5333961B">
      <w:pPr>
        <w:spacing w:line="360" w:lineRule="auto"/>
        <w:rPr>
          <w:rFonts w:ascii="宋体" w:hAnsi="宋体"/>
          <w:b/>
          <w:color w:val="auto"/>
          <w:sz w:val="24"/>
          <w:highlight w:val="none"/>
        </w:rPr>
      </w:pPr>
      <w:r>
        <w:rPr>
          <w:rFonts w:hint="eastAsia" w:ascii="宋体" w:hAnsi="宋体"/>
          <w:b/>
          <w:color w:val="auto"/>
          <w:sz w:val="24"/>
          <w:highlight w:val="none"/>
        </w:rPr>
        <w:t>分项报价：                                               货币单位：元</w:t>
      </w:r>
    </w:p>
    <w:tbl>
      <w:tblPr>
        <w:tblStyle w:val="39"/>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3"/>
        <w:gridCol w:w="1596"/>
        <w:gridCol w:w="2079"/>
        <w:gridCol w:w="6"/>
        <w:gridCol w:w="944"/>
        <w:gridCol w:w="1542"/>
      </w:tblGrid>
      <w:tr w14:paraId="4D45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7D1265E4">
            <w:pPr>
              <w:spacing w:line="360" w:lineRule="auto"/>
              <w:jc w:val="center"/>
              <w:rPr>
                <w:rFonts w:ascii="宋体" w:hAnsi="宋体"/>
                <w:b/>
                <w:color w:val="auto"/>
                <w:sz w:val="24"/>
                <w:highlight w:val="none"/>
              </w:rPr>
            </w:pPr>
            <w:r>
              <w:rPr>
                <w:rFonts w:hint="eastAsia" w:ascii="宋体" w:hAnsi="宋体"/>
                <w:b/>
                <w:color w:val="auto"/>
                <w:sz w:val="24"/>
                <w:highlight w:val="none"/>
              </w:rPr>
              <w:t>产品名称 （型号）</w:t>
            </w:r>
          </w:p>
        </w:tc>
        <w:tc>
          <w:tcPr>
            <w:tcW w:w="1596" w:type="dxa"/>
            <w:tcBorders>
              <w:top w:val="single" w:color="auto" w:sz="4" w:space="0"/>
              <w:left w:val="single" w:color="auto" w:sz="4" w:space="0"/>
              <w:bottom w:val="single" w:color="auto" w:sz="4" w:space="0"/>
              <w:right w:val="single" w:color="auto" w:sz="4" w:space="0"/>
            </w:tcBorders>
            <w:vAlign w:val="center"/>
          </w:tcPr>
          <w:p w14:paraId="45DBE519">
            <w:pPr>
              <w:spacing w:line="360" w:lineRule="auto"/>
              <w:jc w:val="center"/>
              <w:rPr>
                <w:rFonts w:ascii="宋体" w:hAnsi="宋体"/>
                <w:b/>
                <w:color w:val="auto"/>
                <w:sz w:val="24"/>
                <w:highlight w:val="none"/>
              </w:rPr>
            </w:pPr>
            <w:r>
              <w:rPr>
                <w:rFonts w:hint="eastAsia" w:ascii="宋体" w:hAnsi="宋体"/>
                <w:b/>
                <w:color w:val="auto"/>
                <w:sz w:val="24"/>
                <w:highlight w:val="none"/>
              </w:rPr>
              <w:t>产地和</w:t>
            </w:r>
          </w:p>
          <w:p w14:paraId="1FF0C0EF">
            <w:pPr>
              <w:spacing w:line="360" w:lineRule="auto"/>
              <w:jc w:val="center"/>
              <w:rPr>
                <w:rFonts w:ascii="宋体" w:hAnsi="宋体"/>
                <w:b/>
                <w:color w:val="auto"/>
                <w:sz w:val="24"/>
                <w:highlight w:val="none"/>
              </w:rPr>
            </w:pPr>
            <w:r>
              <w:rPr>
                <w:rFonts w:hint="eastAsia" w:ascii="宋体" w:hAnsi="宋体"/>
                <w:b/>
                <w:color w:val="auto"/>
                <w:sz w:val="24"/>
                <w:highlight w:val="none"/>
              </w:rPr>
              <w:t>制造商名称</w:t>
            </w: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722643EC">
            <w:pPr>
              <w:spacing w:line="360" w:lineRule="auto"/>
              <w:jc w:val="center"/>
              <w:rPr>
                <w:rFonts w:ascii="宋体" w:hAnsi="宋体"/>
                <w:b/>
                <w:color w:val="auto"/>
                <w:sz w:val="24"/>
                <w:highlight w:val="none"/>
              </w:rPr>
            </w:pPr>
            <w:r>
              <w:rPr>
                <w:rFonts w:hint="eastAsia" w:ascii="宋体" w:hAnsi="宋体"/>
                <w:b/>
                <w:color w:val="auto"/>
                <w:sz w:val="24"/>
                <w:highlight w:val="none"/>
              </w:rPr>
              <w:t>数量/单位</w:t>
            </w:r>
          </w:p>
        </w:tc>
        <w:tc>
          <w:tcPr>
            <w:tcW w:w="944" w:type="dxa"/>
            <w:tcBorders>
              <w:top w:val="single" w:color="auto" w:sz="4" w:space="0"/>
              <w:left w:val="single" w:color="auto" w:sz="4" w:space="0"/>
              <w:bottom w:val="single" w:color="auto" w:sz="4" w:space="0"/>
              <w:right w:val="single" w:color="auto" w:sz="4" w:space="0"/>
            </w:tcBorders>
            <w:vAlign w:val="center"/>
          </w:tcPr>
          <w:p w14:paraId="4108B04B">
            <w:pPr>
              <w:spacing w:line="360" w:lineRule="auto"/>
              <w:jc w:val="center"/>
              <w:rPr>
                <w:rFonts w:ascii="宋体" w:hAnsi="宋体"/>
                <w:b/>
                <w:color w:val="auto"/>
                <w:sz w:val="24"/>
                <w:highlight w:val="none"/>
              </w:rPr>
            </w:pPr>
            <w:r>
              <w:rPr>
                <w:rFonts w:hint="eastAsia" w:ascii="宋体" w:hAnsi="宋体"/>
                <w:b/>
                <w:color w:val="auto"/>
                <w:sz w:val="24"/>
                <w:highlight w:val="none"/>
              </w:rPr>
              <w:t>单价</w:t>
            </w:r>
          </w:p>
        </w:tc>
        <w:tc>
          <w:tcPr>
            <w:tcW w:w="1542" w:type="dxa"/>
            <w:tcBorders>
              <w:top w:val="single" w:color="auto" w:sz="4" w:space="0"/>
              <w:left w:val="single" w:color="auto" w:sz="4" w:space="0"/>
              <w:bottom w:val="single" w:color="auto" w:sz="4" w:space="0"/>
              <w:right w:val="single" w:color="auto" w:sz="4" w:space="0"/>
            </w:tcBorders>
            <w:vAlign w:val="center"/>
          </w:tcPr>
          <w:p w14:paraId="055FF4F5">
            <w:pPr>
              <w:spacing w:line="360" w:lineRule="auto"/>
              <w:jc w:val="center"/>
              <w:rPr>
                <w:rFonts w:ascii="宋体" w:hAnsi="宋体"/>
                <w:b/>
                <w:color w:val="auto"/>
                <w:sz w:val="24"/>
                <w:highlight w:val="none"/>
              </w:rPr>
            </w:pPr>
            <w:r>
              <w:rPr>
                <w:rFonts w:hint="eastAsia" w:ascii="宋体" w:hAnsi="宋体"/>
                <w:b/>
                <w:color w:val="auto"/>
                <w:sz w:val="24"/>
                <w:highlight w:val="none"/>
              </w:rPr>
              <w:t>总价</w:t>
            </w:r>
          </w:p>
        </w:tc>
      </w:tr>
      <w:tr w14:paraId="0FC7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6C4F419B">
            <w:pPr>
              <w:spacing w:line="360" w:lineRule="auto"/>
              <w:jc w:val="center"/>
              <w:rPr>
                <w:rFonts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vAlign w:val="center"/>
          </w:tcPr>
          <w:p w14:paraId="3794BDF6">
            <w:pPr>
              <w:spacing w:line="360" w:lineRule="auto"/>
              <w:jc w:val="center"/>
              <w:rPr>
                <w:rFonts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60485A83">
            <w:pPr>
              <w:spacing w:line="360" w:lineRule="auto"/>
              <w:jc w:val="center"/>
              <w:rPr>
                <w:rFonts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52C52CC1">
            <w:pPr>
              <w:spacing w:line="360" w:lineRule="auto"/>
              <w:jc w:val="center"/>
              <w:rPr>
                <w:rFonts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7152C7CB">
            <w:pPr>
              <w:spacing w:line="360" w:lineRule="auto"/>
              <w:jc w:val="center"/>
              <w:rPr>
                <w:rFonts w:ascii="宋体" w:hAnsi="宋体"/>
                <w:color w:val="auto"/>
                <w:sz w:val="24"/>
                <w:highlight w:val="none"/>
              </w:rPr>
            </w:pPr>
          </w:p>
        </w:tc>
      </w:tr>
      <w:tr w14:paraId="2666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7B803CEC">
            <w:pPr>
              <w:spacing w:line="360" w:lineRule="auto"/>
              <w:jc w:val="center"/>
              <w:rPr>
                <w:rFonts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vAlign w:val="center"/>
          </w:tcPr>
          <w:p w14:paraId="01AE1530">
            <w:pPr>
              <w:spacing w:line="360" w:lineRule="auto"/>
              <w:jc w:val="center"/>
              <w:rPr>
                <w:rFonts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0E6F71D6">
            <w:pPr>
              <w:spacing w:line="360" w:lineRule="auto"/>
              <w:jc w:val="center"/>
              <w:rPr>
                <w:rFonts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646ED657">
            <w:pPr>
              <w:spacing w:line="360" w:lineRule="auto"/>
              <w:jc w:val="center"/>
              <w:rPr>
                <w:rFonts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0B21AFE9">
            <w:pPr>
              <w:spacing w:line="360" w:lineRule="auto"/>
              <w:jc w:val="center"/>
              <w:rPr>
                <w:rFonts w:ascii="宋体" w:hAnsi="宋体"/>
                <w:color w:val="auto"/>
                <w:sz w:val="24"/>
                <w:highlight w:val="none"/>
              </w:rPr>
            </w:pPr>
          </w:p>
        </w:tc>
      </w:tr>
      <w:tr w14:paraId="3655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38914E48">
            <w:pPr>
              <w:spacing w:line="360" w:lineRule="auto"/>
              <w:jc w:val="center"/>
              <w:rPr>
                <w:rFonts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vAlign w:val="center"/>
          </w:tcPr>
          <w:p w14:paraId="3974E9F6">
            <w:pPr>
              <w:spacing w:line="360" w:lineRule="auto"/>
              <w:jc w:val="center"/>
              <w:rPr>
                <w:rFonts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vAlign w:val="center"/>
          </w:tcPr>
          <w:p w14:paraId="554058FC">
            <w:pPr>
              <w:spacing w:line="360" w:lineRule="auto"/>
              <w:jc w:val="center"/>
              <w:rPr>
                <w:rFonts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20A2947D">
            <w:pPr>
              <w:spacing w:line="360" w:lineRule="auto"/>
              <w:jc w:val="center"/>
              <w:rPr>
                <w:rFonts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vAlign w:val="center"/>
          </w:tcPr>
          <w:p w14:paraId="18274A31">
            <w:pPr>
              <w:spacing w:line="360" w:lineRule="auto"/>
              <w:jc w:val="center"/>
              <w:rPr>
                <w:rFonts w:ascii="宋体" w:hAnsi="宋体"/>
                <w:color w:val="auto"/>
                <w:sz w:val="24"/>
                <w:highlight w:val="none"/>
              </w:rPr>
            </w:pPr>
          </w:p>
        </w:tc>
      </w:tr>
      <w:tr w14:paraId="308A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1B14BC1A">
            <w:pPr>
              <w:spacing w:line="360" w:lineRule="auto"/>
              <w:rPr>
                <w:rFonts w:ascii="宋体" w:hAnsi="宋体"/>
                <w:b/>
                <w:color w:val="auto"/>
                <w:sz w:val="24"/>
                <w:highlight w:val="none"/>
              </w:rPr>
            </w:pPr>
            <w:r>
              <w:rPr>
                <w:rFonts w:hint="eastAsia" w:ascii="宋体" w:hAnsi="宋体"/>
                <w:b/>
                <w:color w:val="auto"/>
                <w:sz w:val="24"/>
                <w:highlight w:val="none"/>
              </w:rPr>
              <w:t>合同总价（含税）</w:t>
            </w:r>
          </w:p>
        </w:tc>
        <w:tc>
          <w:tcPr>
            <w:tcW w:w="3675" w:type="dxa"/>
            <w:gridSpan w:val="2"/>
            <w:tcBorders>
              <w:top w:val="single" w:color="auto" w:sz="4" w:space="0"/>
              <w:left w:val="single" w:color="auto" w:sz="4" w:space="0"/>
              <w:bottom w:val="single" w:color="auto" w:sz="4" w:space="0"/>
              <w:right w:val="single" w:color="auto" w:sz="4" w:space="0"/>
            </w:tcBorders>
            <w:vAlign w:val="center"/>
          </w:tcPr>
          <w:p w14:paraId="05810119">
            <w:pPr>
              <w:spacing w:line="360" w:lineRule="auto"/>
              <w:rPr>
                <w:rFonts w:ascii="宋体" w:hAnsi="宋体"/>
                <w:b/>
                <w:color w:val="auto"/>
                <w:sz w:val="24"/>
                <w:highlight w:val="none"/>
              </w:rPr>
            </w:pPr>
            <w:r>
              <w:rPr>
                <w:rFonts w:hint="eastAsia" w:ascii="宋体" w:hAnsi="宋体"/>
                <w:b/>
                <w:color w:val="auto"/>
                <w:sz w:val="24"/>
                <w:highlight w:val="none"/>
              </w:rPr>
              <w:t xml:space="preserve">（大写）：               </w:t>
            </w:r>
          </w:p>
        </w:tc>
        <w:tc>
          <w:tcPr>
            <w:tcW w:w="2492" w:type="dxa"/>
            <w:gridSpan w:val="3"/>
            <w:tcBorders>
              <w:top w:val="single" w:color="auto" w:sz="4" w:space="0"/>
              <w:left w:val="single" w:color="auto" w:sz="4" w:space="0"/>
              <w:bottom w:val="single" w:color="auto" w:sz="4" w:space="0"/>
              <w:right w:val="single" w:color="auto" w:sz="4" w:space="0"/>
            </w:tcBorders>
            <w:vAlign w:val="center"/>
          </w:tcPr>
          <w:p w14:paraId="4113D2C8">
            <w:pPr>
              <w:spacing w:line="360" w:lineRule="auto"/>
              <w:rPr>
                <w:rFonts w:ascii="宋体" w:hAnsi="宋体"/>
                <w:b/>
                <w:color w:val="auto"/>
                <w:sz w:val="24"/>
                <w:highlight w:val="none"/>
              </w:rPr>
            </w:pPr>
            <w:r>
              <w:rPr>
                <w:rFonts w:hint="eastAsia" w:ascii="宋体" w:hAnsi="宋体"/>
                <w:b/>
                <w:color w:val="auto"/>
                <w:sz w:val="24"/>
                <w:highlight w:val="none"/>
              </w:rPr>
              <w:t>（小写）：</w:t>
            </w:r>
          </w:p>
        </w:tc>
      </w:tr>
    </w:tbl>
    <w:p w14:paraId="3B23E073">
      <w:pPr>
        <w:spacing w:line="620" w:lineRule="exact"/>
        <w:rPr>
          <w:rFonts w:ascii="宋体" w:hAnsi="宋体"/>
          <w:b/>
          <w:color w:val="auto"/>
          <w:sz w:val="24"/>
          <w:highlight w:val="none"/>
        </w:rPr>
      </w:pPr>
      <w:r>
        <w:rPr>
          <w:rFonts w:hint="eastAsia" w:ascii="宋体" w:hAnsi="宋体"/>
          <w:b/>
          <w:color w:val="auto"/>
          <w:sz w:val="24"/>
          <w:highlight w:val="none"/>
        </w:rPr>
        <w:t>2.第三方权利</w:t>
      </w:r>
    </w:p>
    <w:p w14:paraId="6A667A1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方保证,甲方(包括产品实际使用人)使用本合同产品或其任何一部分，不会侵犯任何第三方的合法权利，包括但不限于：专利权、商标权、或其他工业产权。如有第三方向甲方或实际使用人主张上述权利，乙方应当负责妥善解决，承担全部成本与费用，造成损失的，乙方负责赔偿。</w:t>
      </w:r>
    </w:p>
    <w:p w14:paraId="7867784F">
      <w:pPr>
        <w:spacing w:line="620" w:lineRule="exact"/>
        <w:rPr>
          <w:rFonts w:ascii="宋体" w:hAnsi="宋体"/>
          <w:color w:val="auto"/>
          <w:sz w:val="24"/>
          <w:highlight w:val="none"/>
        </w:rPr>
      </w:pPr>
      <w:r>
        <w:rPr>
          <w:rFonts w:hint="eastAsia" w:ascii="宋体" w:hAnsi="宋体"/>
          <w:b/>
          <w:color w:val="auto"/>
          <w:sz w:val="24"/>
          <w:highlight w:val="none"/>
        </w:rPr>
        <w:t>3.质量保证</w:t>
      </w:r>
    </w:p>
    <w:p w14:paraId="347F5D5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3.1 乙方应保证所供产品为全新且未使用过的，产品是由原厂近期内生产的，产品质量应完全符合国家相关行业标准。</w:t>
      </w:r>
    </w:p>
    <w:p w14:paraId="152DC3E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3.2应保证其产品在正确安装、正常使用和保养条件下，在其使用寿命期内应具有符合质量要求和产品说明书的性能。</w:t>
      </w:r>
    </w:p>
    <w:p w14:paraId="17C240B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3.3交付产品的技术规格应与招标文件或询价报价单、本合同规定的技术要求以及技术配置表（附件一）相一致。交付产品时，乙方还应当提供生产厂产品出厂合格证明。</w:t>
      </w:r>
    </w:p>
    <w:p w14:paraId="1238F88F">
      <w:pPr>
        <w:spacing w:line="620" w:lineRule="exact"/>
        <w:rPr>
          <w:rFonts w:ascii="宋体" w:hAnsi="宋体"/>
          <w:color w:val="auto"/>
          <w:sz w:val="24"/>
          <w:highlight w:val="none"/>
        </w:rPr>
      </w:pPr>
      <w:r>
        <w:rPr>
          <w:rFonts w:hint="eastAsia" w:ascii="宋体" w:hAnsi="宋体"/>
          <w:b/>
          <w:color w:val="auto"/>
          <w:sz w:val="24"/>
          <w:highlight w:val="none"/>
        </w:rPr>
        <w:t>4.交货中的产品保护</w:t>
      </w:r>
    </w:p>
    <w:p w14:paraId="2EA43E2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4.1 乙方应合理选择运输工具、运输路线，按时送达甲方指定地点，承担运输过程中的安全、质量等风险责任及相关费用。</w:t>
      </w:r>
    </w:p>
    <w:p w14:paraId="6DF0F41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4.2 乙方将产品运至合同规定的最终目的地并经甲方按行业验收标准验收合格后方可办理交接入库。入库前的产品所有权归乙方所有、产品的全部风险由乙方承担。入库后的产品所有权归甲方所有、产品的全部风险由甲方承担。</w:t>
      </w:r>
    </w:p>
    <w:p w14:paraId="4FD22B91">
      <w:pPr>
        <w:spacing w:line="620" w:lineRule="exact"/>
        <w:rPr>
          <w:rFonts w:ascii="宋体" w:hAnsi="宋体"/>
          <w:b/>
          <w:color w:val="auto"/>
          <w:sz w:val="24"/>
          <w:highlight w:val="none"/>
        </w:rPr>
      </w:pPr>
      <w:r>
        <w:rPr>
          <w:rFonts w:hint="eastAsia" w:ascii="宋体" w:hAnsi="宋体"/>
          <w:b/>
          <w:color w:val="auto"/>
          <w:sz w:val="24"/>
          <w:highlight w:val="none"/>
        </w:rPr>
        <w:t>5.运费、保险费及相关税费</w:t>
      </w:r>
    </w:p>
    <w:p w14:paraId="4CDE3F8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5.1 国产产品与服务：现场交货人民币价。卖方应承担制造、装配和发运货物所使用的材料、部件及货物本身已支付或将支付的产品税、销售税和其它税费。中国石油大学（北京）不再支付项目报价外的任何费用。</w:t>
      </w:r>
    </w:p>
    <w:p w14:paraId="05370BF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5.2进口货物及服务：卖方应承担进口设备免税CIP或CIF到货港口价格、进口产品的外贸代理费、银行费、报关、商检、海关监管等进口环节所有相关费用, 运至采购人指定地点的内陆运输、保险及其伴随服务等费用。采购方不再额外支付任何与进口环节有关的一切费用。进口代理服务费和银行费的标准为合同金额的1.3%。</w:t>
      </w:r>
    </w:p>
    <w:p w14:paraId="2BD1A20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5.3 合同价中包含一切运输费、安装费、调试费和培训费等，中国石油大学（北京）不再支付本项目报价外的任何费用。</w:t>
      </w:r>
    </w:p>
    <w:p w14:paraId="24417D9F">
      <w:pPr>
        <w:spacing w:line="620" w:lineRule="exact"/>
        <w:rPr>
          <w:rFonts w:ascii="宋体" w:hAnsi="宋体"/>
          <w:b/>
          <w:color w:val="auto"/>
          <w:sz w:val="24"/>
          <w:highlight w:val="none"/>
        </w:rPr>
      </w:pPr>
      <w:r>
        <w:rPr>
          <w:rFonts w:hint="eastAsia" w:ascii="宋体" w:hAnsi="宋体"/>
          <w:b/>
          <w:color w:val="auto"/>
          <w:sz w:val="24"/>
          <w:highlight w:val="none"/>
        </w:rPr>
        <w:t>6.交货时间、地点</w:t>
      </w:r>
    </w:p>
    <w:p w14:paraId="7F7D148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6.1 交货时间：乙方于接到甲方发货通知之日起</w:t>
      </w:r>
      <w:r>
        <w:rPr>
          <w:rFonts w:hint="eastAsia" w:ascii="宋体" w:hAnsi="宋体"/>
          <w:color w:val="auto"/>
          <w:sz w:val="24"/>
          <w:highlight w:val="none"/>
          <w:u w:val="single"/>
        </w:rPr>
        <w:t xml:space="preserve">      </w:t>
      </w:r>
      <w:r>
        <w:rPr>
          <w:rFonts w:hint="eastAsia" w:ascii="宋体" w:hAnsi="宋体"/>
          <w:color w:val="auto"/>
          <w:sz w:val="24"/>
          <w:highlight w:val="none"/>
        </w:rPr>
        <w:t>日内发货，将产品送至甲方指定交货地点，运输费由乙方承担。</w:t>
      </w:r>
    </w:p>
    <w:p w14:paraId="7C88673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6.2 交货地点：乙方应免费将产品发往采购人指定的交货地点__________________。产品到货后两周内到甲方处免费安装、调试、培训，直至验收合格且甲方的技术人员能独立工作。货物到达甲方指定的地点，乙方负责卸车。卸货时必须使用专用工具的，由乙方提供，因乙方提供专用工具本身的原因造成货物损坏及其他责任由乙方承担。危险化学品需专业人员操作的，由乙方组织人员操作，因乙方人员造成的货物损坏及其他责任由乙方承担。所有设备仪器安装完毕后要保持安装区域的干净整洁及校区原设施的完好，如若损害乙方负责恢复原状或按原价赔偿。</w:t>
      </w:r>
    </w:p>
    <w:p w14:paraId="17ED690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6.3  乙方应在产品交付时一并向甲方指定的收货人交付相关资料及技术文档、图纸，包括但不限于产品使用说明书、质保单（质量保证书）、供货清单、合格证、出厂检验报告及技术协议中要求的其他资料；随机备件及工具由厂家免费提供，规格及数量详见双方约定或技术协议。危险化学品需提供安全技术说明书。若以上附件发生迟延交付，均视为产品延迟交付。</w:t>
      </w:r>
    </w:p>
    <w:p w14:paraId="09E1F6C0">
      <w:pPr>
        <w:spacing w:line="620" w:lineRule="exact"/>
        <w:rPr>
          <w:rFonts w:ascii="宋体" w:hAnsi="宋体"/>
          <w:color w:val="auto"/>
          <w:sz w:val="24"/>
          <w:highlight w:val="none"/>
        </w:rPr>
      </w:pPr>
      <w:r>
        <w:rPr>
          <w:rFonts w:ascii="宋体" w:hAnsi="宋体"/>
          <w:b/>
          <w:color w:val="auto"/>
          <w:sz w:val="24"/>
          <w:highlight w:val="none"/>
        </w:rPr>
        <w:t>7.</w:t>
      </w:r>
      <w:r>
        <w:rPr>
          <w:rFonts w:hint="eastAsia" w:ascii="宋体" w:hAnsi="宋体"/>
          <w:b/>
          <w:color w:val="auto"/>
          <w:sz w:val="24"/>
          <w:highlight w:val="none"/>
        </w:rPr>
        <w:t>付款条件</w:t>
      </w:r>
    </w:p>
    <w:p w14:paraId="4A5F24EA">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7.1国外进口：</w:t>
      </w:r>
      <w:r>
        <w:rPr>
          <w:rFonts w:ascii="宋体" w:hAnsi="宋体"/>
          <w:color w:val="auto"/>
          <w:sz w:val="24"/>
          <w:highlight w:val="none"/>
        </w:rPr>
        <w:t>100％信用证付款，货到验收合格</w:t>
      </w:r>
      <w:r>
        <w:rPr>
          <w:rFonts w:hint="eastAsia" w:ascii="宋体" w:hAnsi="宋体"/>
          <w:color w:val="auto"/>
          <w:sz w:val="24"/>
          <w:highlight w:val="none"/>
        </w:rPr>
        <w:t>安装调试运转正常</w:t>
      </w:r>
      <w:r>
        <w:rPr>
          <w:rFonts w:ascii="宋体" w:hAnsi="宋体"/>
          <w:color w:val="auto"/>
          <w:sz w:val="24"/>
          <w:highlight w:val="none"/>
        </w:rPr>
        <w:t>后</w:t>
      </w:r>
      <w:r>
        <w:rPr>
          <w:rFonts w:hint="eastAsia" w:ascii="宋体" w:hAnsi="宋体"/>
          <w:color w:val="auto"/>
          <w:sz w:val="24"/>
          <w:highlight w:val="none"/>
        </w:rPr>
        <w:t>90</w:t>
      </w:r>
      <w:r>
        <w:rPr>
          <w:rFonts w:ascii="宋体" w:hAnsi="宋体"/>
          <w:color w:val="auto"/>
          <w:sz w:val="24"/>
          <w:highlight w:val="none"/>
        </w:rPr>
        <w:t>％解付，</w:t>
      </w:r>
      <w:r>
        <w:rPr>
          <w:rFonts w:hint="eastAsia" w:ascii="宋体" w:hAnsi="宋体"/>
          <w:color w:val="auto"/>
          <w:sz w:val="24"/>
          <w:highlight w:val="none"/>
        </w:rPr>
        <w:t>验收合格一年后，10</w:t>
      </w:r>
      <w:r>
        <w:rPr>
          <w:rFonts w:ascii="宋体" w:hAnsi="宋体"/>
          <w:color w:val="auto"/>
          <w:sz w:val="24"/>
          <w:highlight w:val="none"/>
        </w:rPr>
        <w:t>%解付</w:t>
      </w:r>
      <w:r>
        <w:rPr>
          <w:rFonts w:hint="eastAsia" w:ascii="宋体" w:hAnsi="宋体"/>
          <w:color w:val="auto"/>
          <w:sz w:val="24"/>
          <w:highlight w:val="none"/>
        </w:rPr>
        <w:t>。</w:t>
      </w:r>
    </w:p>
    <w:p w14:paraId="3F17F901">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7.2国内订货：</w:t>
      </w:r>
    </w:p>
    <w:p w14:paraId="45AE6C2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签订合同后首付</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经校方测试运行验收合格后，付款</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w:t>
      </w:r>
    </w:p>
    <w:p w14:paraId="41E30160">
      <w:pPr>
        <w:spacing w:line="620" w:lineRule="exact"/>
        <w:rPr>
          <w:rFonts w:ascii="宋体" w:hAnsi="宋体"/>
          <w:color w:val="auto"/>
          <w:sz w:val="24"/>
          <w:highlight w:val="none"/>
        </w:rPr>
      </w:pPr>
      <w:r>
        <w:rPr>
          <w:rFonts w:hint="eastAsia" w:ascii="宋体" w:hAnsi="宋体"/>
          <w:b/>
          <w:color w:val="auto"/>
          <w:sz w:val="24"/>
          <w:highlight w:val="none"/>
        </w:rPr>
        <w:t>8.验收</w:t>
      </w:r>
    </w:p>
    <w:p w14:paraId="3CB88C2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8.1甲乙双方共同对产品进行验收并对产品品质进行逐项检查，乙方向甲方移交产品合格证、购买发票等材料，并提供开箱清单、安装调试报告、培训记录、测试运行记录。验收合格后甲乙双方签署第一次（出厂）验收报告。如甲方发现所提供的产品品质和技术规范不符合合同要求时，或有明显损坏，乙方应承担相应责任并负责赔偿全部损失，并承担由此给甲方带来延期使用等方面造成的损失。</w:t>
      </w:r>
    </w:p>
    <w:p w14:paraId="0EE58A9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8.2如因乙方原因使产品不能正常使用，乙方应承担全部责任。</w:t>
      </w:r>
    </w:p>
    <w:p w14:paraId="17017A5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8.3乙方需要配合甲方完成学校组织技术专家在场的现场验收，并出具验收报告。最终验收以学校验收为准。</w:t>
      </w:r>
    </w:p>
    <w:p w14:paraId="2EBF7F7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8.4如双方对产品的质量有争议的，应立即封存产品或提取产品样品，由共同确认的检验机构对封存的样品进行检验，并以该检验机构的检验结果作为确认产品质量的依据。如检验结果不符合合同约定的质量标准，检验费由乙方承担；符合质量标准的，检验费由甲方承担。</w:t>
      </w:r>
    </w:p>
    <w:p w14:paraId="038A2851">
      <w:pPr>
        <w:spacing w:line="620" w:lineRule="exact"/>
        <w:rPr>
          <w:rFonts w:ascii="宋体" w:hAnsi="宋体"/>
          <w:b/>
          <w:color w:val="auto"/>
          <w:sz w:val="24"/>
          <w:highlight w:val="none"/>
        </w:rPr>
      </w:pPr>
      <w:r>
        <w:rPr>
          <w:rFonts w:hint="eastAsia" w:ascii="宋体" w:hAnsi="宋体"/>
          <w:b/>
          <w:color w:val="auto"/>
          <w:sz w:val="24"/>
          <w:highlight w:val="none"/>
        </w:rPr>
        <w:t>9.乙方售后服务承诺及质量标准</w:t>
      </w:r>
    </w:p>
    <w:p w14:paraId="6639595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9.1所有产品整体质量保证期不少于</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rPr>
        <w:t>年，自双方交接验收合格签署验收报告之日起计算（售后服务承诺详见附件二）。</w:t>
      </w:r>
    </w:p>
    <w:p w14:paraId="4125DF2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9.2质量标准应包括国家标准、行业标准、企业标准、封存样品质量标准及其他标准等，注明标准代号、编号、标准名称。若采用乙方的企业标准，须将其标准作为（本）合同附件；采用双方技术协议的，技术协议作为本合同附件。</w:t>
      </w:r>
    </w:p>
    <w:p w14:paraId="64EEFF55">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9.3乙方须确保在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3FC65F1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9.4乙方技术员在校服务期间要有安全防范意识，具备应对安全事件的技能，遵守国家法律法规，并对自身人身、财产安全负全部法律责任及经济责任。</w:t>
      </w:r>
    </w:p>
    <w:p w14:paraId="383B78FC">
      <w:pPr>
        <w:spacing w:line="620" w:lineRule="exact"/>
        <w:rPr>
          <w:rFonts w:ascii="宋体" w:hAnsi="宋体"/>
          <w:b/>
          <w:color w:val="auto"/>
          <w:sz w:val="24"/>
          <w:highlight w:val="none"/>
        </w:rPr>
      </w:pPr>
      <w:r>
        <w:rPr>
          <w:rFonts w:hint="eastAsia" w:ascii="宋体" w:hAnsi="宋体"/>
          <w:b/>
          <w:color w:val="auto"/>
          <w:sz w:val="24"/>
          <w:highlight w:val="none"/>
        </w:rPr>
        <w:t>10.廉洁条款</w:t>
      </w:r>
    </w:p>
    <w:p w14:paraId="5C9D1DC8">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10.1 甲乙双方共同责任</w:t>
      </w:r>
    </w:p>
    <w:p w14:paraId="128C716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10.1.1严格遵守国家有关法律法规以及廉洁从业的有关规定；严格遵守商业道德和市场规则，共同营造公平公正的交易环境。</w:t>
      </w:r>
    </w:p>
    <w:p w14:paraId="30E6430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10.1.2加强相关人员的管理和廉洁从业教育，自觉抵制不廉洁行为；在交易过程中发现对方及其工作人员存在违规违纪违法问题，应及时向监察部门或司法机关举报。</w:t>
      </w:r>
    </w:p>
    <w:p w14:paraId="0CA6EEAA">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10.2 甲方及其人员的责任</w:t>
      </w:r>
    </w:p>
    <w:p w14:paraId="7B1EB84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10.2.1不得索要或接受乙方及其相关单位、人员提供的折扣费、中介费、佣金、礼金、有价证券、支付凭证、贵重物品等。</w:t>
      </w:r>
    </w:p>
    <w:p w14:paraId="6490C22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10.2.2不得在乙方及其相关单位报销任何应由甲方或个人支付的费用。</w:t>
      </w:r>
    </w:p>
    <w:p w14:paraId="20743E5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10.2.3不得违反规定在乙方及其相关单位投资入股、合伙经营，不得向乙方单位及人员借款或委托买卖股票、债券等。</w:t>
      </w:r>
    </w:p>
    <w:p w14:paraId="2688349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10.2.4不得要求、暗示和接受乙方及其相关单位和个人为其购买或装修住房、婚丧嫁娶、配偶和子女的工作安排或上学以及出国（境）、旅游等提供方便。</w:t>
      </w:r>
    </w:p>
    <w:p w14:paraId="5257874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10.2.5不得参加乙方及其相关单位、个人安排的可能影响公平交易的宴请、健身、娱乐等活动。</w:t>
      </w:r>
    </w:p>
    <w:p w14:paraId="02ECE47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10.2.6不得接受、占用或以明显低于市场价格购买、租用乙方及其相关单位和个人提供的通讯工具、交通工具和高档办公用品。</w:t>
      </w:r>
    </w:p>
    <w:p w14:paraId="55057BE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10.2.7不得通过乙方及其相关单位为其配偶、子女及其他特定关系人谋取不正当利益。</w:t>
      </w:r>
    </w:p>
    <w:p w14:paraId="4E6E27A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10.2.8不得违反规定在乙方或乙方相关单位兼职和领取兼职工资及报酬；不得利用甲方的商业秘密谋取个人私利，或将其提供泄漏给乙方及其它企业和个人。</w:t>
      </w:r>
    </w:p>
    <w:p w14:paraId="72F3218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10.2.9不得利用职权和工作之便向乙方提出与交易无关的事项或要求。</w:t>
      </w:r>
    </w:p>
    <w:p w14:paraId="74593FC8">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10.3乙方及其人员的责任</w:t>
      </w:r>
    </w:p>
    <w:p w14:paraId="1EF0C77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10.3.1不得向甲方及其人员提供折扣费、中介费、佣金、礼金、有价证券、支付凭证、贵重物品等。</w:t>
      </w:r>
    </w:p>
    <w:p w14:paraId="16217BD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10.3.2不得为甲方及其人员报销应由甲方或个人支付的费用。</w:t>
      </w:r>
    </w:p>
    <w:p w14:paraId="1D98F63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10.3.3不得为甲方人员投资入股、个人借款或买卖股票、债券等提供方便。</w:t>
      </w:r>
    </w:p>
    <w:p w14:paraId="102A99A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10.3.4不得为甲方人员购买或装修住房、婚丧嫁娶、配偶子女上学或工作安排以及出国（境）、旅游等提供方便。</w:t>
      </w:r>
    </w:p>
    <w:p w14:paraId="4D54CD2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10.3.5不得为甲方人员安排有可能影响公平交易的宴请、健身、娱乐等活动。</w:t>
      </w:r>
    </w:p>
    <w:p w14:paraId="494ED07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10.3.6不得为甲方及其人员购置或以明显低于市场价值提供通讯工具、交通工具和高档办公用品。</w:t>
      </w:r>
    </w:p>
    <w:p w14:paraId="6FA1599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10.3.7不得为甲方工作人员的配偶、子女及其他特定关系人谋取不正当利益提供方便。</w:t>
      </w:r>
    </w:p>
    <w:p w14:paraId="1BF81F8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10.3.8不得违反规定安排甲方人员在乙方或乙方相关企业兼职和领取兼职工资及报酬；不得向甲方人员打探涉及甲方的商业秘密。</w:t>
      </w:r>
    </w:p>
    <w:p w14:paraId="18DE2DC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10.3.9甲方对涉嫌不廉洁的商业行为进行调查时，乙方有配合甲方提供证据、作证的义务。</w:t>
      </w:r>
    </w:p>
    <w:p w14:paraId="1E8ED375">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10.3.10乙方须确保在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6852F0C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10.3.11乙方技术员在校服务期间要有安全防范意识，具备应对安全事件的技能，遵守国家法律法规，并对自身人身、财产安全负全部法律责任及经济责任。</w:t>
      </w:r>
    </w:p>
    <w:p w14:paraId="50EB710F">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11.违约责任</w:t>
      </w:r>
    </w:p>
    <w:p w14:paraId="735D2ED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11.1如果乙方所供的产品数量、质量或规格与合同规定不符，或不履行售后服务承诺的，或证实产品是有缺陷的，包括潜在的缺陷或使用不符合要求的材料、零部件等，甲方有权向乙方提出索赔，要求乙方无条件退货或修复，并负责赔偿甲方的一切损失。</w:t>
      </w:r>
    </w:p>
    <w:p w14:paraId="58DA67C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11.2在合同第9条规定的质量保证期内，如果乙方对质量差异负有责任，乙方应按照甲方同意的下列一种或多种方式进行补救：</w:t>
      </w:r>
    </w:p>
    <w:p w14:paraId="4DCD668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1）乙方负责同意退货并用合同规定的货币将货款退还给甲方，并承担由此发生的一切损失和费用，包括利息、银行手续费、运费、保险费、检验费、仓储费、装卸费以及为保护退回产品所需的其他必要费用。</w:t>
      </w:r>
    </w:p>
    <w:p w14:paraId="5BE2822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2）在满足基本技术性能需求的前提上，根据产品的损坏程度以及甲方所遭受损失的金额，经甲乙双方商定降低产品的价格。</w:t>
      </w:r>
    </w:p>
    <w:p w14:paraId="1BA83F2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用符合合同规定的规格、质量和性能要求的新零件、部件和/或设备来更换有缺陷的部分和/或修补缺陷部分，乙方应承担一切费用和风险并负担甲方蒙受的全部直接损失费用。同时，乙方应按合同规定，相应延长修补和/或更换件的质量保证期。</w:t>
      </w:r>
    </w:p>
    <w:p w14:paraId="208C8AD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11.3如果在甲方发出书面通知后（三十）天内，乙方未作书面答复，上述违约责任应视为已被乙方接受。如乙方未能在甲方发出通知后（三十）天内或甲方同意的延长期内，按照本条规定的任何一种方法解决质量差异并征得甲方同意，甲方将从已付货款中扣回索赔金额（索赔金额不高于合同价的5％）。</w:t>
      </w:r>
    </w:p>
    <w:p w14:paraId="4AB7771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11.4按本条第二款处理质量差异后，甲方保留向乙方追索赔偿的权利（赔偿金额不高于合同价的5％）。</w:t>
      </w:r>
    </w:p>
    <w:p w14:paraId="7B6028B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11.5甲方及其人员有违反10.1、10.2条规定的，按照管理权限，依据有关法律法规和规定给予有关人员纪律处分或组织处理；涉嫌犯罪的，移交司法机关追究其刑事责任。</w:t>
      </w:r>
    </w:p>
    <w:p w14:paraId="33069DE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11.6乙方及其人员有10.1、10.2规定的，根据情节和后果，甲方除有权要求乙方赔偿由此造成的甲方损失外，还将在中国石油大学（北京）分别给予通报、限制或禁止与其交易的处理；涉嫌犯罪的，报请司法机关追究其刑事责任。</w:t>
      </w:r>
    </w:p>
    <w:p w14:paraId="1FE5051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11.7乙方技术人员若违反11条规定，按照管理权限，涉嫌犯罪的，移交司法机关追究其刑事责任。</w:t>
      </w:r>
    </w:p>
    <w:p w14:paraId="3000BFC3">
      <w:pPr>
        <w:spacing w:line="620" w:lineRule="exact"/>
        <w:rPr>
          <w:rFonts w:ascii="宋体" w:hAnsi="宋体"/>
          <w:b/>
          <w:color w:val="auto"/>
          <w:sz w:val="24"/>
          <w:highlight w:val="none"/>
        </w:rPr>
      </w:pPr>
      <w:r>
        <w:rPr>
          <w:rFonts w:hint="eastAsia" w:ascii="宋体" w:hAnsi="宋体"/>
          <w:b/>
          <w:color w:val="auto"/>
          <w:sz w:val="24"/>
          <w:highlight w:val="none"/>
        </w:rPr>
        <w:t>12.误期索赔</w:t>
      </w:r>
    </w:p>
    <w:p w14:paraId="27C95A1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12.1如果乙方没有按照合同规定的时间交货，乙方应向甲方支付违约金，违约金按每周迟交货款的0.5％计收，直至交货为止，但违约金的最高限额不超过合同价的5％。一周按七天计算，不足七天按一周计算。一旦达到违约金的最高限额，甲方有权终止合同，因乙方原因造成本合同解除的，乙方除应退还已收的货款，赔偿甲方的全部损失外，还应当向甲方双倍返还首付款。</w:t>
      </w:r>
    </w:p>
    <w:p w14:paraId="7292957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12.2如果甲方没有按照合同规定的时间付款（除政府集中支付环节造成时间延误外），甲方应向乙方支付违约金，违约金按每周迟交款的0.5％计收，但违约金的最高限额不超过合同价的5％。</w:t>
      </w:r>
    </w:p>
    <w:p w14:paraId="7C7D30B9">
      <w:pPr>
        <w:spacing w:line="620" w:lineRule="exact"/>
        <w:rPr>
          <w:rFonts w:ascii="宋体" w:hAnsi="宋体"/>
          <w:b/>
          <w:color w:val="auto"/>
          <w:sz w:val="24"/>
          <w:highlight w:val="none"/>
        </w:rPr>
      </w:pPr>
      <w:r>
        <w:rPr>
          <w:rFonts w:hint="eastAsia" w:ascii="宋体" w:hAnsi="宋体"/>
          <w:b/>
          <w:color w:val="auto"/>
          <w:sz w:val="24"/>
          <w:highlight w:val="none"/>
        </w:rPr>
        <w:t>13.破产合同的终止</w:t>
      </w:r>
    </w:p>
    <w:p w14:paraId="69C32D7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如果乙方破产或无赔偿能力，甲方可在任何时候以书面形式通知乙方终止合同而不给乙方任何补偿。该终止合同将不损害或影响甲方已经采取或将要采取的任何形式或补救措施的权利。</w:t>
      </w:r>
    </w:p>
    <w:p w14:paraId="7FB3ABE7">
      <w:pPr>
        <w:spacing w:line="620" w:lineRule="exact"/>
        <w:rPr>
          <w:rFonts w:ascii="宋体" w:hAnsi="宋体"/>
          <w:b/>
          <w:color w:val="auto"/>
          <w:sz w:val="24"/>
          <w:highlight w:val="none"/>
        </w:rPr>
      </w:pPr>
      <w:r>
        <w:rPr>
          <w:rFonts w:hint="eastAsia" w:ascii="宋体" w:hAnsi="宋体"/>
          <w:b/>
          <w:color w:val="auto"/>
          <w:sz w:val="24"/>
          <w:highlight w:val="none"/>
        </w:rPr>
        <w:t>14.不可抗力</w:t>
      </w:r>
    </w:p>
    <w:p w14:paraId="2AD6CB4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14.1本条所述的“不可抗力”系指那些不能预见，不能避免，并不能克服的客观情况。但不包括乙方的违约或疏忽。仅限于：战争、严重火灾、洪水、台风、地震以及其它双方商定的事件。</w:t>
      </w:r>
    </w:p>
    <w:p w14:paraId="0D41677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14.2不可抗力事件影响持续超过30天，双方应通过协商解决进一步履行合同事宜。在不可抗力事件发生后，双方应尽快以书面形式将不可抗力的情况和原因通知对方,并在合理期限内提供证明。</w:t>
      </w:r>
    </w:p>
    <w:p w14:paraId="212C1A8D">
      <w:pPr>
        <w:spacing w:line="620" w:lineRule="exact"/>
        <w:rPr>
          <w:rFonts w:ascii="宋体" w:hAnsi="宋体"/>
          <w:b/>
          <w:color w:val="auto"/>
          <w:sz w:val="24"/>
          <w:highlight w:val="none"/>
        </w:rPr>
      </w:pPr>
      <w:r>
        <w:rPr>
          <w:rFonts w:hint="eastAsia" w:ascii="宋体" w:hAnsi="宋体"/>
          <w:b/>
          <w:color w:val="auto"/>
          <w:sz w:val="24"/>
          <w:highlight w:val="none"/>
        </w:rPr>
        <w:t>15.适用法律</w:t>
      </w:r>
    </w:p>
    <w:p w14:paraId="34035B8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本合同应按中华人民共和国现行法律进行解释。</w:t>
      </w:r>
    </w:p>
    <w:p w14:paraId="7FDB2EBE">
      <w:pPr>
        <w:spacing w:line="620" w:lineRule="exact"/>
        <w:rPr>
          <w:rFonts w:ascii="宋体" w:hAnsi="宋体"/>
          <w:b/>
          <w:color w:val="auto"/>
          <w:sz w:val="24"/>
          <w:highlight w:val="none"/>
        </w:rPr>
      </w:pPr>
      <w:r>
        <w:rPr>
          <w:rFonts w:hint="eastAsia" w:ascii="宋体" w:hAnsi="宋体"/>
          <w:b/>
          <w:color w:val="auto"/>
          <w:sz w:val="24"/>
          <w:highlight w:val="none"/>
        </w:rPr>
        <w:t>16.争端的解决</w:t>
      </w:r>
    </w:p>
    <w:p w14:paraId="169D3406">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本合同履行过程中发生的或与本合同有关的一切争议，由双方友好协商解决，协商不成的，可依法通过以下第</w:t>
      </w:r>
      <w:r>
        <w:rPr>
          <w:rFonts w:ascii="宋体" w:hAnsi="宋体" w:cs="宋体"/>
          <w:color w:val="auto"/>
          <w:sz w:val="24"/>
          <w:highlight w:val="none"/>
        </w:rPr>
        <w:t xml:space="preserve">   </w:t>
      </w:r>
      <w:r>
        <w:rPr>
          <w:rFonts w:hint="eastAsia" w:ascii="宋体" w:hAnsi="宋体" w:cs="宋体"/>
          <w:color w:val="auto"/>
          <w:sz w:val="24"/>
          <w:highlight w:val="none"/>
        </w:rPr>
        <w:t>种方式解决：</w:t>
      </w:r>
    </w:p>
    <w:p w14:paraId="27E18D8B">
      <w:pPr>
        <w:spacing w:line="620" w:lineRule="exact"/>
        <w:ind w:firstLine="480" w:firstLineChars="20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6</w:t>
      </w:r>
      <w:r>
        <w:rPr>
          <w:rFonts w:ascii="宋体" w:hAnsi="宋体" w:cs="宋体"/>
          <w:color w:val="auto"/>
          <w:sz w:val="24"/>
          <w:highlight w:val="none"/>
        </w:rPr>
        <w:t>.1</w:t>
      </w:r>
      <w:r>
        <w:rPr>
          <w:rFonts w:hint="eastAsia" w:ascii="宋体" w:hAnsi="宋体" w:cs="宋体"/>
          <w:color w:val="auto"/>
          <w:sz w:val="24"/>
          <w:highlight w:val="none"/>
        </w:rPr>
        <w:t>提交</w:t>
      </w:r>
      <w:r>
        <w:rPr>
          <w:rFonts w:ascii="宋体" w:hAnsi="宋体" w:cs="宋体"/>
          <w:color w:val="auto"/>
          <w:sz w:val="24"/>
          <w:highlight w:val="none"/>
          <w:u w:val="single"/>
        </w:rPr>
        <w:t xml:space="preserve">   </w:t>
      </w:r>
      <w:r>
        <w:rPr>
          <w:rFonts w:hint="eastAsia" w:ascii="宋体" w:hAnsi="宋体" w:cs="宋体"/>
          <w:color w:val="auto"/>
          <w:sz w:val="24"/>
          <w:highlight w:val="none"/>
        </w:rPr>
        <w:t>仲裁委员会进行仲裁。仲裁地点在</w:t>
      </w:r>
      <w:r>
        <w:rPr>
          <w:rFonts w:ascii="宋体" w:hAnsi="宋体" w:cs="宋体"/>
          <w:color w:val="auto"/>
          <w:sz w:val="24"/>
          <w:highlight w:val="none"/>
          <w:u w:val="single"/>
        </w:rPr>
        <w:t xml:space="preserve">   </w:t>
      </w:r>
      <w:r>
        <w:rPr>
          <w:rFonts w:hint="eastAsia" w:ascii="宋体" w:hAnsi="宋体" w:cs="宋体"/>
          <w:color w:val="auto"/>
          <w:sz w:val="24"/>
          <w:highlight w:val="none"/>
        </w:rPr>
        <w:t>。仲裁裁决是终局的，对双方均有约束力。（可根据实际情况选择仲裁机构）</w:t>
      </w:r>
    </w:p>
    <w:p w14:paraId="12FFCC4A">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.2.</w:t>
      </w:r>
      <w:r>
        <w:rPr>
          <w:rFonts w:hint="eastAsia" w:ascii="宋体" w:hAnsi="宋体" w:cs="宋体"/>
          <w:color w:val="auto"/>
          <w:sz w:val="24"/>
          <w:highlight w:val="none"/>
        </w:rPr>
        <w:t>向甲方所在地法院提起诉讼。</w:t>
      </w:r>
    </w:p>
    <w:p w14:paraId="7A4CEE99">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.3</w:t>
      </w:r>
      <w:r>
        <w:rPr>
          <w:rFonts w:hint="eastAsia" w:ascii="宋体" w:hAnsi="宋体" w:cs="宋体"/>
          <w:color w:val="auto"/>
          <w:sz w:val="24"/>
          <w:highlight w:val="none"/>
        </w:rPr>
        <w:t>争议解决期间，除争议事项外，双方应继续履行本合同。</w:t>
      </w:r>
    </w:p>
    <w:p w14:paraId="746A5ADD">
      <w:pPr>
        <w:spacing w:line="620" w:lineRule="exact"/>
        <w:rPr>
          <w:rFonts w:ascii="宋体" w:hAnsi="宋体"/>
          <w:b/>
          <w:color w:val="auto"/>
          <w:sz w:val="24"/>
          <w:highlight w:val="none"/>
        </w:rPr>
      </w:pPr>
      <w:r>
        <w:rPr>
          <w:rFonts w:hint="eastAsia" w:ascii="宋体" w:hAnsi="宋体"/>
          <w:b/>
          <w:color w:val="auto"/>
          <w:sz w:val="24"/>
          <w:highlight w:val="none"/>
        </w:rPr>
        <w:t>17.其他</w:t>
      </w:r>
    </w:p>
    <w:p w14:paraId="2F2CD71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本合同一式</w:t>
      </w:r>
      <w:r>
        <w:rPr>
          <w:rFonts w:hint="eastAsia" w:ascii="宋体" w:hAnsi="宋体"/>
          <w:color w:val="auto"/>
          <w:sz w:val="24"/>
          <w:highlight w:val="none"/>
        </w:rPr>
        <w:t>__</w:t>
      </w:r>
      <w:r>
        <w:rPr>
          <w:rFonts w:ascii="宋体" w:hAnsi="宋体"/>
          <w:color w:val="auto"/>
          <w:sz w:val="24"/>
          <w:highlight w:val="none"/>
        </w:rPr>
        <w:t>份，甲</w:t>
      </w:r>
      <w:r>
        <w:rPr>
          <w:rFonts w:hint="eastAsia" w:ascii="宋体" w:hAnsi="宋体"/>
          <w:color w:val="auto"/>
          <w:sz w:val="24"/>
          <w:highlight w:val="none"/>
        </w:rPr>
        <w:t>方执__份，乙方执__</w:t>
      </w:r>
      <w:r>
        <w:rPr>
          <w:rFonts w:ascii="宋体" w:hAnsi="宋体"/>
          <w:color w:val="auto"/>
          <w:sz w:val="24"/>
          <w:highlight w:val="none"/>
        </w:rPr>
        <w:t>份，具有同等法律效力</w:t>
      </w:r>
      <w:r>
        <w:rPr>
          <w:rFonts w:hint="eastAsia" w:ascii="宋体" w:hAnsi="宋体"/>
          <w:color w:val="auto"/>
          <w:sz w:val="24"/>
          <w:highlight w:val="none"/>
        </w:rPr>
        <w:t>。</w:t>
      </w:r>
    </w:p>
    <w:p w14:paraId="664411C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17.2本合同</w:t>
      </w:r>
      <w:r>
        <w:rPr>
          <w:rFonts w:ascii="宋体" w:hAnsi="宋体"/>
          <w:color w:val="auto"/>
          <w:sz w:val="24"/>
          <w:highlight w:val="none"/>
        </w:rPr>
        <w:t>自双方签字盖章</w:t>
      </w:r>
      <w:r>
        <w:rPr>
          <w:rFonts w:hint="eastAsia" w:ascii="宋体" w:hAnsi="宋体"/>
          <w:color w:val="auto"/>
          <w:sz w:val="24"/>
          <w:highlight w:val="none"/>
        </w:rPr>
        <w:t>（合同专用章）</w:t>
      </w:r>
      <w:r>
        <w:rPr>
          <w:rFonts w:ascii="宋体" w:hAnsi="宋体"/>
          <w:color w:val="auto"/>
          <w:sz w:val="24"/>
          <w:highlight w:val="none"/>
        </w:rPr>
        <w:t>之日起生效。</w:t>
      </w:r>
    </w:p>
    <w:p w14:paraId="5C6ACE4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17.3 本合同未尽事宜，由双方协商并签订补充合同。补充合同（协议）与主合同具有同等法律效力。</w:t>
      </w:r>
    </w:p>
    <w:p w14:paraId="0877F1C8">
      <w:pPr>
        <w:spacing w:line="620" w:lineRule="exact"/>
        <w:ind w:firstLine="480" w:firstLineChars="200"/>
        <w:rPr>
          <w:rFonts w:ascii="宋体" w:hAnsi="宋体"/>
          <w:color w:val="auto"/>
          <w:sz w:val="24"/>
          <w:highlight w:val="none"/>
        </w:rPr>
      </w:pPr>
    </w:p>
    <w:p w14:paraId="7C83286B">
      <w:pPr>
        <w:spacing w:line="620" w:lineRule="exact"/>
        <w:ind w:firstLine="480" w:firstLineChars="200"/>
        <w:rPr>
          <w:rFonts w:ascii="宋体" w:hAnsi="宋体"/>
          <w:color w:val="auto"/>
          <w:sz w:val="24"/>
          <w:highlight w:val="none"/>
        </w:rPr>
      </w:pPr>
    </w:p>
    <w:p w14:paraId="4EB29BDD">
      <w:pPr>
        <w:spacing w:line="620" w:lineRule="exact"/>
        <w:rPr>
          <w:rFonts w:ascii="宋体" w:hAnsi="宋体"/>
          <w:b/>
          <w:color w:val="auto"/>
          <w:sz w:val="24"/>
          <w:highlight w:val="none"/>
        </w:rPr>
      </w:pPr>
      <w:r>
        <w:rPr>
          <w:rFonts w:hint="eastAsia" w:ascii="宋体" w:hAnsi="宋体"/>
          <w:b/>
          <w:color w:val="auto"/>
          <w:sz w:val="24"/>
          <w:highlight w:val="none"/>
        </w:rPr>
        <w:t>18.本合同附件包括：</w:t>
      </w:r>
    </w:p>
    <w:p w14:paraId="3512450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附件一：产品主要技术配置</w:t>
      </w:r>
    </w:p>
    <w:p w14:paraId="18EEEBE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附件二：售后服务承诺</w:t>
      </w:r>
    </w:p>
    <w:p w14:paraId="20DD7010">
      <w:pPr>
        <w:spacing w:line="620" w:lineRule="exact"/>
        <w:ind w:firstLine="480" w:firstLineChars="200"/>
        <w:rPr>
          <w:rFonts w:ascii="宋体" w:hAnsi="宋体"/>
          <w:color w:val="auto"/>
          <w:sz w:val="24"/>
          <w:highlight w:val="none"/>
        </w:rPr>
      </w:pPr>
    </w:p>
    <w:p w14:paraId="6A20D98C">
      <w:pPr>
        <w:spacing w:line="620" w:lineRule="exact"/>
        <w:ind w:firstLine="480" w:firstLineChars="200"/>
        <w:rPr>
          <w:rFonts w:ascii="宋体" w:hAnsi="宋体"/>
          <w:color w:val="auto"/>
          <w:sz w:val="24"/>
          <w:highlight w:val="none"/>
        </w:rPr>
      </w:pPr>
    </w:p>
    <w:p w14:paraId="0946B17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（以下无正文）</w:t>
      </w:r>
    </w:p>
    <w:p w14:paraId="7813FC3F">
      <w:pPr>
        <w:spacing w:line="620" w:lineRule="exact"/>
        <w:ind w:firstLine="480" w:firstLineChars="200"/>
        <w:rPr>
          <w:rFonts w:ascii="宋体" w:hAnsi="宋体"/>
          <w:color w:val="auto"/>
          <w:sz w:val="24"/>
          <w:highlight w:val="none"/>
        </w:rPr>
      </w:pPr>
    </w:p>
    <w:p w14:paraId="31C0F60C">
      <w:pPr>
        <w:spacing w:line="620" w:lineRule="exact"/>
        <w:ind w:firstLine="480" w:firstLineChars="200"/>
        <w:rPr>
          <w:rFonts w:ascii="宋体" w:hAnsi="宋体"/>
          <w:color w:val="auto"/>
          <w:sz w:val="24"/>
          <w:highlight w:val="none"/>
        </w:rPr>
      </w:pPr>
    </w:p>
    <w:p w14:paraId="52ABF94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甲    方：中国石油大学（北京）            </w:t>
      </w:r>
    </w:p>
    <w:p w14:paraId="2A863D1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 新疆克拉玛依市安定路355号</w:t>
      </w:r>
    </w:p>
    <w:p w14:paraId="7AE21BE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法定代表人：</w:t>
      </w:r>
    </w:p>
    <w:p w14:paraId="4F546AF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委托代理人：</w:t>
      </w:r>
    </w:p>
    <w:p w14:paraId="74996D9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    话：</w:t>
      </w:r>
    </w:p>
    <w:p w14:paraId="3D0EE39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电子邮箱：</w:t>
      </w:r>
    </w:p>
    <w:p w14:paraId="7F3F1E9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 户 行：</w:t>
      </w:r>
    </w:p>
    <w:p w14:paraId="338603F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开户名称：</w:t>
      </w:r>
    </w:p>
    <w:p w14:paraId="3752E4B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银行帐号：</w:t>
      </w:r>
    </w:p>
    <w:p w14:paraId="021BF222">
      <w:pPr>
        <w:spacing w:line="620" w:lineRule="exact"/>
        <w:ind w:firstLine="480" w:firstLineChars="20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年   月　 日</w:t>
      </w:r>
    </w:p>
    <w:p w14:paraId="0524ACB1">
      <w:pPr>
        <w:spacing w:line="620" w:lineRule="exact"/>
        <w:ind w:firstLine="480" w:firstLineChars="200"/>
        <w:rPr>
          <w:rFonts w:ascii="宋体" w:hAnsi="宋体"/>
          <w:color w:val="auto"/>
          <w:sz w:val="24"/>
          <w:highlight w:val="none"/>
        </w:rPr>
      </w:pPr>
    </w:p>
    <w:p w14:paraId="6B01A77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    方：</w:t>
      </w:r>
    </w:p>
    <w:p w14:paraId="398274A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w:t>
      </w:r>
    </w:p>
    <w:p w14:paraId="5CC24C7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法定代表人：</w:t>
      </w:r>
    </w:p>
    <w:p w14:paraId="24FB44B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委托代理人：</w:t>
      </w:r>
    </w:p>
    <w:p w14:paraId="568927F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    话：</w:t>
      </w:r>
    </w:p>
    <w:p w14:paraId="66CFA4C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电子邮箱：</w:t>
      </w:r>
    </w:p>
    <w:p w14:paraId="46F1ED1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 户 行：</w:t>
      </w:r>
    </w:p>
    <w:p w14:paraId="4A207F8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开户名称：</w:t>
      </w:r>
    </w:p>
    <w:p w14:paraId="5BC9AD3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银行帐号：</w:t>
      </w:r>
    </w:p>
    <w:p w14:paraId="6307203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年　 月　 日</w:t>
      </w:r>
    </w:p>
    <w:p w14:paraId="236D081A">
      <w:pPr>
        <w:spacing w:line="620" w:lineRule="exact"/>
        <w:ind w:firstLine="480" w:firstLineChars="200"/>
        <w:rPr>
          <w:rFonts w:ascii="宋体" w:hAnsi="宋体"/>
          <w:color w:val="auto"/>
          <w:sz w:val="24"/>
          <w:highlight w:val="none"/>
        </w:rPr>
      </w:pPr>
    </w:p>
    <w:bookmarkEnd w:id="147"/>
    <w:p w14:paraId="28DC808C">
      <w:pPr>
        <w:adjustRightInd w:val="0"/>
        <w:snapToGrid w:val="0"/>
        <w:rPr>
          <w:color w:val="auto"/>
          <w:highlight w:val="none"/>
        </w:rPr>
      </w:pPr>
    </w:p>
    <w:p w14:paraId="2E3C500E">
      <w:pPr>
        <w:rPr>
          <w:color w:val="auto"/>
          <w:highlight w:val="none"/>
        </w:rPr>
      </w:pPr>
      <w:r>
        <w:rPr>
          <w:rFonts w:hint="eastAsia"/>
          <w:color w:val="auto"/>
          <w:highlight w:val="none"/>
        </w:rPr>
        <w:br w:type="page"/>
      </w:r>
    </w:p>
    <w:p w14:paraId="5AD7F0B7">
      <w:pPr>
        <w:pStyle w:val="38"/>
        <w:rPr>
          <w:color w:val="auto"/>
          <w:highlight w:val="none"/>
        </w:rPr>
      </w:pPr>
    </w:p>
    <w:p w14:paraId="293A8F33">
      <w:pPr>
        <w:pStyle w:val="2"/>
        <w:rPr>
          <w:color w:val="auto"/>
          <w:highlight w:val="none"/>
        </w:rPr>
      </w:pPr>
      <w:bookmarkStart w:id="148" w:name="_Toc26985"/>
      <w:r>
        <w:rPr>
          <w:rFonts w:hint="eastAsia"/>
          <w:color w:val="auto"/>
          <w:highlight w:val="none"/>
        </w:rPr>
        <w:t>第</w:t>
      </w:r>
      <w:bookmarkStart w:id="149" w:name="_Toc9510643"/>
      <w:r>
        <w:rPr>
          <w:rFonts w:hint="eastAsia"/>
          <w:color w:val="auto"/>
          <w:highlight w:val="none"/>
        </w:rPr>
        <w:t>五章 投标文件格式</w:t>
      </w:r>
      <w:bookmarkEnd w:id="143"/>
      <w:bookmarkEnd w:id="144"/>
      <w:bookmarkEnd w:id="145"/>
      <w:bookmarkEnd w:id="148"/>
    </w:p>
    <w:p w14:paraId="46944E86">
      <w:pPr>
        <w:adjustRightInd w:val="0"/>
        <w:snapToGrid w:val="0"/>
        <w:spacing w:line="360" w:lineRule="auto"/>
        <w:rPr>
          <w:rFonts w:ascii="宋体" w:hAnsi="宋体" w:cs="宋体"/>
          <w:color w:val="auto"/>
          <w:szCs w:val="24"/>
          <w:highlight w:val="none"/>
        </w:rPr>
      </w:pPr>
    </w:p>
    <w:p w14:paraId="429550F5">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49"/>
      <w:r>
        <w:rPr>
          <w:rFonts w:hint="eastAsia" w:ascii="宋体" w:hAnsi="宋体" w:cs="宋体"/>
          <w:color w:val="auto"/>
          <w:sz w:val="24"/>
          <w:szCs w:val="24"/>
          <w:highlight w:val="none"/>
        </w:rPr>
        <w:t>标人提交投标文件须知：</w:t>
      </w:r>
    </w:p>
    <w:p w14:paraId="754F9E84">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14:paraId="0A813427">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14:paraId="19BA7BEF">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14:paraId="2231496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14:paraId="57D9DC7E">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14:paraId="5BECB313">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14:paraId="229ECFEC">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14:paraId="419B596A">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14:paraId="7FC218B0">
      <w:pPr>
        <w:adjustRightInd w:val="0"/>
        <w:snapToGrid w:val="0"/>
        <w:spacing w:before="50" w:after="50" w:line="360" w:lineRule="auto"/>
        <w:rPr>
          <w:rFonts w:ascii="宋体" w:hAnsi="宋体" w:cs="宋体"/>
          <w:color w:val="auto"/>
          <w:sz w:val="32"/>
          <w:highlight w:val="none"/>
        </w:rPr>
      </w:pPr>
    </w:p>
    <w:p w14:paraId="543A0854">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14:paraId="515E6A09">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2E16CE36">
      <w:pPr>
        <w:snapToGrid w:val="0"/>
        <w:spacing w:line="360" w:lineRule="auto"/>
        <w:jc w:val="center"/>
        <w:rPr>
          <w:rFonts w:ascii="宋体" w:hAnsi="宋体" w:cs="宋体"/>
          <w:color w:val="auto"/>
          <w:sz w:val="56"/>
          <w:szCs w:val="20"/>
          <w:highlight w:val="none"/>
        </w:rPr>
      </w:pPr>
    </w:p>
    <w:p w14:paraId="3BF1B985">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14:paraId="4366FD3B">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项目</w:t>
      </w:r>
      <w:r>
        <w:rPr>
          <w:rFonts w:hint="eastAsia" w:ascii="宋体" w:hAnsi="宋体" w:cs="宋体"/>
          <w:color w:val="auto"/>
          <w:sz w:val="28"/>
          <w:szCs w:val="20"/>
          <w:highlight w:val="none"/>
        </w:rPr>
        <w:t>编号：</w:t>
      </w:r>
    </w:p>
    <w:p w14:paraId="610D9912">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14:paraId="61B6432B">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14:paraId="283BBD96">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14:paraId="16E4EBBA">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14:paraId="6733F5F1">
      <w:pPr>
        <w:snapToGrid w:val="0"/>
        <w:spacing w:line="360" w:lineRule="auto"/>
        <w:rPr>
          <w:rFonts w:ascii="宋体" w:hAnsi="宋体" w:cs="宋体"/>
          <w:color w:val="auto"/>
          <w:sz w:val="28"/>
          <w:szCs w:val="20"/>
          <w:highlight w:val="none"/>
        </w:rPr>
      </w:pPr>
    </w:p>
    <w:p w14:paraId="4F6F014E">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7091F69C">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2AAEA061">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14:paraId="084B7DB0">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14:paraId="53217140">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45027373">
      <w:pPr>
        <w:snapToGrid w:val="0"/>
        <w:spacing w:line="360" w:lineRule="auto"/>
        <w:rPr>
          <w:rFonts w:ascii="宋体" w:hAnsi="宋体" w:cs="宋体"/>
          <w:color w:val="auto"/>
          <w:sz w:val="20"/>
          <w:szCs w:val="20"/>
          <w:highlight w:val="none"/>
        </w:rPr>
      </w:pPr>
    </w:p>
    <w:p w14:paraId="0A13DC65">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36FACB76">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4E5C2D42">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41410A1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14:paraId="772C779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14:paraId="7FF4728E">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14:paraId="5FDBB349">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4、备件（及易耗品）清单………………………………………………（页码）</w:t>
      </w:r>
    </w:p>
    <w:p w14:paraId="0A79E18C">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5、投标保证金缴纳凭证复印件</w:t>
      </w:r>
      <w:r>
        <w:rPr>
          <w:rFonts w:hint="eastAsia" w:ascii="宋体" w:hAnsi="宋体" w:cs="宋体"/>
          <w:color w:val="auto"/>
          <w:sz w:val="24"/>
          <w:szCs w:val="24"/>
          <w:highlight w:val="none"/>
        </w:rPr>
        <w:t>（如有）</w:t>
      </w:r>
      <w:r>
        <w:rPr>
          <w:rFonts w:hint="eastAsia" w:ascii="宋体" w:hAnsi="宋体" w:cs="宋体"/>
          <w:color w:val="auto"/>
          <w:sz w:val="24"/>
          <w:szCs w:val="24"/>
          <w:highlight w:val="none"/>
        </w:rPr>
        <w:t>………………………………（页码）</w:t>
      </w:r>
    </w:p>
    <w:p w14:paraId="00CE6C2A">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6、投标人针对报价需要说明的其他文件和资料………………………（页码）</w:t>
      </w:r>
    </w:p>
    <w:p w14:paraId="0A18327F">
      <w:pPr>
        <w:adjustRightInd w:val="0"/>
        <w:snapToGrid w:val="0"/>
        <w:spacing w:line="400" w:lineRule="exact"/>
        <w:rPr>
          <w:rFonts w:ascii="宋体" w:hAnsi="宋体" w:cs="宋体"/>
          <w:color w:val="auto"/>
          <w:sz w:val="24"/>
          <w:szCs w:val="24"/>
          <w:highlight w:val="none"/>
        </w:rPr>
      </w:pPr>
    </w:p>
    <w:p w14:paraId="5D55DE32">
      <w:pPr>
        <w:widowControl/>
        <w:jc w:val="left"/>
        <w:rPr>
          <w:rFonts w:ascii="宋体" w:hAnsi="宋体"/>
          <w:b/>
          <w:bCs/>
          <w:color w:val="auto"/>
          <w:sz w:val="32"/>
          <w:szCs w:val="32"/>
          <w:highlight w:val="none"/>
        </w:rPr>
      </w:pPr>
      <w:r>
        <w:rPr>
          <w:color w:val="auto"/>
          <w:highlight w:val="none"/>
        </w:rPr>
        <w:br w:type="page"/>
      </w:r>
    </w:p>
    <w:p w14:paraId="423A0203">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14:paraId="466C0727">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14:paraId="395B49B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7E28F169">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项目</w:t>
      </w:r>
      <w:r>
        <w:rPr>
          <w:rFonts w:hint="eastAsia" w:ascii="宋体" w:hAnsi="宋体" w:cs="宋体"/>
          <w:color w:val="auto"/>
          <w:sz w:val="24"/>
          <w:szCs w:val="24"/>
          <w:highlight w:val="none"/>
          <w:u w:val="single"/>
        </w:rPr>
        <w:t>编号及内容</w:t>
      </w:r>
      <w:r>
        <w:rPr>
          <w:rFonts w:hint="eastAsia" w:ascii="宋体" w:hAnsi="宋体" w:cs="宋体"/>
          <w:color w:val="auto"/>
          <w:sz w:val="24"/>
          <w:szCs w:val="24"/>
          <w:highlight w:val="none"/>
        </w:rPr>
        <w:t>投标文件正本一份、副本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份、电子文件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w:t>
      </w:r>
    </w:p>
    <w:p w14:paraId="03C23EDC">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14:paraId="4DF23F2F">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14:paraId="616ECFEE">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14:paraId="732BBFD7">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14:paraId="706B87E6">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14:paraId="684978DD">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14:paraId="65AEAF4B">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14:paraId="7987B77E">
      <w:pPr>
        <w:adjustRightInd w:val="0"/>
        <w:snapToGrid w:val="0"/>
        <w:spacing w:line="400" w:lineRule="exact"/>
        <w:ind w:firstLine="480" w:firstLineChars="200"/>
        <w:rPr>
          <w:rFonts w:ascii="宋体" w:hAnsi="宋体" w:cs="宋体"/>
          <w:color w:val="auto"/>
          <w:sz w:val="24"/>
          <w:szCs w:val="24"/>
          <w:highlight w:val="none"/>
        </w:rPr>
      </w:pPr>
    </w:p>
    <w:p w14:paraId="66976883">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14:paraId="599160A6">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14:paraId="3935B232">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5C020599">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14:paraId="549DABD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14:paraId="3FD5B769">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04EA175B">
      <w:pPr>
        <w:adjustRightInd w:val="0"/>
        <w:snapToGrid w:val="0"/>
        <w:spacing w:line="400" w:lineRule="exact"/>
        <w:rPr>
          <w:rFonts w:ascii="宋体" w:hAnsi="宋体" w:cs="宋体"/>
          <w:color w:val="auto"/>
          <w:sz w:val="24"/>
          <w:szCs w:val="24"/>
          <w:highlight w:val="none"/>
        </w:rPr>
      </w:pPr>
    </w:p>
    <w:p w14:paraId="238EBA3A">
      <w:pPr>
        <w:adjustRightInd w:val="0"/>
        <w:snapToGrid w:val="0"/>
        <w:spacing w:line="400" w:lineRule="exact"/>
        <w:rPr>
          <w:color w:val="auto"/>
          <w:highlight w:val="none"/>
        </w:rPr>
      </w:pPr>
    </w:p>
    <w:p w14:paraId="358B1771">
      <w:pPr>
        <w:adjustRightInd w:val="0"/>
        <w:snapToGrid w:val="0"/>
        <w:spacing w:line="400" w:lineRule="exact"/>
        <w:rPr>
          <w:color w:val="auto"/>
          <w:highlight w:val="none"/>
        </w:rPr>
      </w:pPr>
    </w:p>
    <w:p w14:paraId="340F11C2">
      <w:pPr>
        <w:adjustRightInd w:val="0"/>
        <w:snapToGrid w:val="0"/>
        <w:spacing w:line="400" w:lineRule="exact"/>
        <w:rPr>
          <w:color w:val="auto"/>
          <w:highlight w:val="none"/>
        </w:rPr>
      </w:pPr>
    </w:p>
    <w:p w14:paraId="412912CC">
      <w:pPr>
        <w:adjustRightInd w:val="0"/>
        <w:snapToGrid w:val="0"/>
        <w:spacing w:line="400" w:lineRule="exact"/>
        <w:rPr>
          <w:color w:val="auto"/>
          <w:highlight w:val="none"/>
        </w:rPr>
      </w:pPr>
    </w:p>
    <w:p w14:paraId="5FC2F559">
      <w:pPr>
        <w:adjustRightInd w:val="0"/>
        <w:snapToGrid w:val="0"/>
        <w:spacing w:line="400" w:lineRule="exact"/>
        <w:rPr>
          <w:color w:val="auto"/>
          <w:highlight w:val="none"/>
        </w:rPr>
      </w:pPr>
    </w:p>
    <w:p w14:paraId="554B3DFC">
      <w:pPr>
        <w:adjustRightInd w:val="0"/>
        <w:snapToGrid w:val="0"/>
        <w:spacing w:line="400" w:lineRule="exact"/>
        <w:rPr>
          <w:color w:val="auto"/>
          <w:highlight w:val="none"/>
        </w:rPr>
      </w:pPr>
    </w:p>
    <w:p w14:paraId="4295C08B">
      <w:pPr>
        <w:adjustRightInd w:val="0"/>
        <w:snapToGrid w:val="0"/>
        <w:spacing w:line="400" w:lineRule="exact"/>
        <w:rPr>
          <w:color w:val="auto"/>
          <w:highlight w:val="none"/>
        </w:rPr>
      </w:pPr>
    </w:p>
    <w:p w14:paraId="06085FBA">
      <w:pPr>
        <w:adjustRightInd w:val="0"/>
        <w:snapToGrid w:val="0"/>
        <w:spacing w:line="400" w:lineRule="exact"/>
        <w:rPr>
          <w:color w:val="auto"/>
          <w:highlight w:val="none"/>
        </w:rPr>
      </w:pPr>
    </w:p>
    <w:p w14:paraId="0A4D2423">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14:paraId="4C7003B8">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14:paraId="004B7BB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14:paraId="6AD6EFF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项目编号及内容：                                       </w:t>
      </w:r>
    </w:p>
    <w:tbl>
      <w:tblPr>
        <w:tblStyle w:val="3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14:paraId="127B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14:paraId="52C04BD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14:paraId="362B5EFD">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14:paraId="38E7D37F">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14:paraId="30A982D5">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14:paraId="720CFB1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14:paraId="7709C020">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台</w:t>
            </w:r>
            <w:r>
              <w:rPr>
                <w:rFonts w:hint="eastAsia" w:ascii="宋体" w:hAnsi="宋体" w:cs="宋体"/>
                <w:color w:val="auto"/>
                <w:sz w:val="24"/>
                <w:szCs w:val="24"/>
                <w:highlight w:val="none"/>
              </w:rPr>
              <w:t>）</w:t>
            </w:r>
          </w:p>
        </w:tc>
        <w:tc>
          <w:tcPr>
            <w:tcW w:w="1153" w:type="dxa"/>
            <w:vAlign w:val="center"/>
          </w:tcPr>
          <w:p w14:paraId="4C1C87E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14:paraId="7D979C7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14:paraId="3C5B37E2">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1F25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476" w:type="dxa"/>
            <w:vAlign w:val="center"/>
          </w:tcPr>
          <w:p w14:paraId="2F0B1389">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50" w:type="dxa"/>
            <w:vAlign w:val="center"/>
          </w:tcPr>
          <w:p w14:paraId="56F92C49">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纳米粒度及电位分析仪</w:t>
            </w:r>
          </w:p>
        </w:tc>
        <w:tc>
          <w:tcPr>
            <w:tcW w:w="1065" w:type="dxa"/>
            <w:vAlign w:val="center"/>
          </w:tcPr>
          <w:p w14:paraId="3024CB3B">
            <w:pPr>
              <w:snapToGrid w:val="0"/>
              <w:spacing w:line="400" w:lineRule="exact"/>
              <w:jc w:val="center"/>
              <w:rPr>
                <w:rFonts w:ascii="宋体" w:hAnsi="宋体" w:cs="宋体"/>
                <w:color w:val="auto"/>
                <w:sz w:val="24"/>
                <w:szCs w:val="24"/>
                <w:highlight w:val="none"/>
              </w:rPr>
            </w:pPr>
          </w:p>
        </w:tc>
        <w:tc>
          <w:tcPr>
            <w:tcW w:w="641" w:type="dxa"/>
            <w:vAlign w:val="center"/>
          </w:tcPr>
          <w:p w14:paraId="0E9560B1">
            <w:pPr>
              <w:snapToGrid w:val="0"/>
              <w:spacing w:line="400" w:lineRule="exact"/>
              <w:jc w:val="center"/>
              <w:rPr>
                <w:rFonts w:ascii="宋体" w:hAnsi="宋体" w:cs="宋体"/>
                <w:color w:val="auto"/>
                <w:sz w:val="24"/>
                <w:szCs w:val="24"/>
                <w:highlight w:val="none"/>
              </w:rPr>
            </w:pPr>
          </w:p>
        </w:tc>
        <w:tc>
          <w:tcPr>
            <w:tcW w:w="1282" w:type="dxa"/>
            <w:vAlign w:val="center"/>
          </w:tcPr>
          <w:p w14:paraId="13AB1A01">
            <w:pPr>
              <w:snapToGrid w:val="0"/>
              <w:spacing w:line="400" w:lineRule="exact"/>
              <w:jc w:val="center"/>
              <w:rPr>
                <w:rFonts w:ascii="宋体" w:hAnsi="宋体" w:cs="宋体"/>
                <w:color w:val="auto"/>
                <w:sz w:val="24"/>
                <w:szCs w:val="24"/>
                <w:highlight w:val="none"/>
              </w:rPr>
            </w:pPr>
          </w:p>
        </w:tc>
        <w:tc>
          <w:tcPr>
            <w:tcW w:w="898" w:type="dxa"/>
            <w:vAlign w:val="center"/>
          </w:tcPr>
          <w:p w14:paraId="26115894">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53" w:type="dxa"/>
            <w:vAlign w:val="center"/>
          </w:tcPr>
          <w:p w14:paraId="027FF2CC">
            <w:pPr>
              <w:snapToGrid w:val="0"/>
              <w:spacing w:line="400" w:lineRule="exact"/>
              <w:jc w:val="left"/>
              <w:rPr>
                <w:rFonts w:ascii="宋体" w:hAnsi="宋体" w:cs="宋体"/>
                <w:color w:val="auto"/>
                <w:sz w:val="24"/>
                <w:szCs w:val="24"/>
                <w:highlight w:val="none"/>
              </w:rPr>
            </w:pPr>
          </w:p>
        </w:tc>
        <w:tc>
          <w:tcPr>
            <w:tcW w:w="1154" w:type="dxa"/>
            <w:vAlign w:val="center"/>
          </w:tcPr>
          <w:p w14:paraId="01922519">
            <w:pPr>
              <w:snapToGrid w:val="0"/>
              <w:spacing w:line="400" w:lineRule="exact"/>
              <w:jc w:val="center"/>
              <w:rPr>
                <w:rFonts w:ascii="宋体" w:hAnsi="宋体" w:cs="宋体"/>
                <w:color w:val="auto"/>
                <w:sz w:val="24"/>
                <w:szCs w:val="24"/>
                <w:highlight w:val="none"/>
              </w:rPr>
            </w:pPr>
          </w:p>
        </w:tc>
        <w:tc>
          <w:tcPr>
            <w:tcW w:w="897" w:type="dxa"/>
            <w:vAlign w:val="center"/>
          </w:tcPr>
          <w:p w14:paraId="5EA5F145">
            <w:pPr>
              <w:snapToGrid w:val="0"/>
              <w:spacing w:line="400" w:lineRule="exact"/>
              <w:jc w:val="center"/>
              <w:rPr>
                <w:rFonts w:ascii="宋体" w:hAnsi="宋体" w:cs="宋体"/>
                <w:color w:val="auto"/>
                <w:sz w:val="24"/>
                <w:szCs w:val="24"/>
                <w:highlight w:val="none"/>
              </w:rPr>
            </w:pPr>
          </w:p>
        </w:tc>
      </w:tr>
      <w:tr w14:paraId="12388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098DBBF9">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14:paraId="1D70FA21">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14:paraId="54F99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1C967308">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交货时间</w:t>
            </w:r>
          </w:p>
        </w:tc>
        <w:tc>
          <w:tcPr>
            <w:tcW w:w="7090" w:type="dxa"/>
            <w:gridSpan w:val="7"/>
            <w:vAlign w:val="center"/>
          </w:tcPr>
          <w:p w14:paraId="52C7C5B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14:paraId="038CB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14:paraId="051F774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14:paraId="2330006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14:paraId="47FA6153">
      <w:pPr>
        <w:adjustRightInd w:val="0"/>
        <w:snapToGrid w:val="0"/>
        <w:spacing w:line="400" w:lineRule="exact"/>
        <w:rPr>
          <w:rFonts w:ascii="宋体" w:hAnsi="宋体" w:cs="宋体"/>
          <w:color w:val="auto"/>
          <w:sz w:val="24"/>
          <w:szCs w:val="24"/>
          <w:highlight w:val="none"/>
        </w:rPr>
      </w:pPr>
    </w:p>
    <w:p w14:paraId="6B748903">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14:paraId="70B92C73">
      <w:pPr>
        <w:pStyle w:val="3"/>
        <w:rPr>
          <w:color w:val="auto"/>
          <w:highlight w:val="none"/>
        </w:rPr>
      </w:pPr>
    </w:p>
    <w:p w14:paraId="0AEB3B6E">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7D53A3FA">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0CC6B6CB">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E5F3EB9">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14:paraId="66F602CA">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14:paraId="06D5F972">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14:paraId="59CF39C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7DE80C9C">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w:t>
      </w:r>
      <w:r>
        <w:rPr>
          <w:rFonts w:hint="eastAsia" w:ascii="宋体" w:hAnsi="宋体" w:cs="宋体"/>
          <w:color w:val="auto"/>
          <w:sz w:val="24"/>
          <w:szCs w:val="24"/>
          <w:highlight w:val="none"/>
        </w:rPr>
        <w:t>编号及内容：                               金额单位：人民币（元）</w:t>
      </w:r>
    </w:p>
    <w:tbl>
      <w:tblPr>
        <w:tblStyle w:val="39"/>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14:paraId="6A99C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4A38B8E7">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14:paraId="7D1A560C">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14:paraId="76640C48">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14:paraId="77382528">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14:paraId="3FF66B3D">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14:paraId="6B7CD8CD">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14:paraId="2F9621EA">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14:paraId="2D9FE826">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14:paraId="095804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278D72D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87A8BA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104C435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58C0009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58E3DCED">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389F46C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16B934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26FE6AE8">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06AE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10BBE62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1378AE2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17BCBA3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E3FEF5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35CD10D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170C62E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13AD40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58E47BB6">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29F1EC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2F77FD5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293DA40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3CCA82B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4004E4E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16CEE7B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1A9AF60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5DD08A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4BA23C59">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79A08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411C6FE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AFE0F9D">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14:paraId="7FA9EF4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54E1AC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10668BA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90952F3">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05C00BB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338E6AB6">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6672F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14:paraId="1F24EBB3">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14:paraId="6422B1C5">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14:paraId="220AC43C">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216FA55">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14:paraId="168E3BC4">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69977A1C">
      <w:pPr>
        <w:adjustRightInd w:val="0"/>
        <w:snapToGrid w:val="0"/>
        <w:spacing w:line="400" w:lineRule="exact"/>
        <w:rPr>
          <w:rFonts w:ascii="宋体" w:hAnsi="宋体" w:cs="宋体"/>
          <w:color w:val="auto"/>
          <w:spacing w:val="20"/>
          <w:sz w:val="24"/>
          <w:szCs w:val="24"/>
          <w:highlight w:val="none"/>
        </w:rPr>
      </w:pPr>
    </w:p>
    <w:p w14:paraId="73346EF1">
      <w:pPr>
        <w:rPr>
          <w:rFonts w:ascii="宋体" w:hAnsi="宋体" w:cs="宋体"/>
          <w:b/>
          <w:color w:val="auto"/>
          <w:sz w:val="24"/>
          <w:szCs w:val="24"/>
          <w:highlight w:val="none"/>
        </w:rPr>
      </w:pPr>
      <w:r>
        <w:rPr>
          <w:rFonts w:hint="eastAsia" w:ascii="宋体" w:hAnsi="宋体" w:cs="宋体"/>
          <w:color w:val="auto"/>
          <w:sz w:val="24"/>
          <w:szCs w:val="24"/>
          <w:highlight w:val="none"/>
        </w:rPr>
        <w:t>日期：    年   月   日</w:t>
      </w:r>
      <w:r>
        <w:rPr>
          <w:rFonts w:hint="eastAsia" w:ascii="宋体" w:hAnsi="宋体" w:cs="宋体"/>
          <w:b/>
          <w:color w:val="auto"/>
          <w:sz w:val="24"/>
          <w:szCs w:val="24"/>
          <w:highlight w:val="none"/>
        </w:rPr>
        <w:br w:type="page"/>
      </w:r>
    </w:p>
    <w:p w14:paraId="3D910D89">
      <w:pPr>
        <w:adjustRightInd w:val="0"/>
        <w:snapToGrid w:val="0"/>
        <w:spacing w:before="50" w:after="50"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4、投标保证金缴纳凭证复印件</w:t>
      </w:r>
      <w:r>
        <w:rPr>
          <w:rFonts w:hint="eastAsia" w:ascii="宋体" w:hAnsi="宋体" w:cs="宋体"/>
          <w:b/>
          <w:bCs/>
          <w:color w:val="auto"/>
          <w:sz w:val="24"/>
          <w:szCs w:val="24"/>
          <w:highlight w:val="none"/>
        </w:rPr>
        <w:t>（如有）</w:t>
      </w:r>
    </w:p>
    <w:p w14:paraId="00C10F86">
      <w:pPr>
        <w:adjustRightInd w:val="0"/>
        <w:snapToGrid w:val="0"/>
        <w:spacing w:before="50" w:after="50" w:line="400" w:lineRule="exact"/>
        <w:rPr>
          <w:rFonts w:ascii="宋体" w:hAnsi="宋体" w:cs="宋体"/>
          <w:b/>
          <w:color w:val="auto"/>
          <w:sz w:val="24"/>
          <w:szCs w:val="24"/>
          <w:highlight w:val="none"/>
        </w:rPr>
      </w:pPr>
    </w:p>
    <w:p w14:paraId="097D377D">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14:paraId="23C6658B">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14:paraId="0D324E24">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5DEC8598">
      <w:pPr>
        <w:spacing w:line="360" w:lineRule="auto"/>
        <w:jc w:val="center"/>
        <w:rPr>
          <w:rFonts w:ascii="宋体" w:hAnsi="宋体" w:cs="宋体"/>
          <w:color w:val="auto"/>
          <w:sz w:val="56"/>
          <w:szCs w:val="20"/>
          <w:highlight w:val="none"/>
        </w:rPr>
      </w:pPr>
    </w:p>
    <w:p w14:paraId="55CDF77D">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14:paraId="599C61B5">
      <w:pPr>
        <w:spacing w:line="360" w:lineRule="auto"/>
        <w:jc w:val="center"/>
        <w:rPr>
          <w:rFonts w:ascii="宋体" w:hAnsi="宋体" w:cs="宋体"/>
          <w:color w:val="auto"/>
          <w:sz w:val="28"/>
          <w:szCs w:val="20"/>
          <w:highlight w:val="none"/>
        </w:rPr>
      </w:pPr>
    </w:p>
    <w:p w14:paraId="5F5D3ACA">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项目</w:t>
      </w:r>
      <w:r>
        <w:rPr>
          <w:rFonts w:hint="eastAsia" w:ascii="宋体" w:hAnsi="宋体" w:cs="宋体"/>
          <w:color w:val="auto"/>
          <w:sz w:val="28"/>
          <w:szCs w:val="20"/>
          <w:highlight w:val="none"/>
        </w:rPr>
        <w:t>编号：</w:t>
      </w:r>
    </w:p>
    <w:p w14:paraId="16A52FA7">
      <w:pPr>
        <w:spacing w:line="360" w:lineRule="auto"/>
        <w:jc w:val="center"/>
        <w:rPr>
          <w:rFonts w:ascii="宋体" w:hAnsi="宋体" w:cs="宋体"/>
          <w:color w:val="auto"/>
          <w:sz w:val="28"/>
          <w:szCs w:val="20"/>
          <w:highlight w:val="none"/>
        </w:rPr>
      </w:pPr>
    </w:p>
    <w:p w14:paraId="5A21CC18">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14:paraId="5D9F97EC">
      <w:pPr>
        <w:spacing w:line="360" w:lineRule="auto"/>
        <w:jc w:val="center"/>
        <w:rPr>
          <w:rFonts w:ascii="宋体" w:hAnsi="宋体" w:cs="宋体"/>
          <w:color w:val="auto"/>
          <w:sz w:val="56"/>
          <w:szCs w:val="20"/>
          <w:highlight w:val="none"/>
        </w:rPr>
      </w:pPr>
    </w:p>
    <w:p w14:paraId="4E942574">
      <w:pPr>
        <w:spacing w:line="360" w:lineRule="auto"/>
        <w:jc w:val="center"/>
        <w:rPr>
          <w:rFonts w:ascii="宋体" w:hAnsi="宋体" w:cs="宋体"/>
          <w:color w:val="auto"/>
          <w:sz w:val="56"/>
          <w:szCs w:val="20"/>
          <w:highlight w:val="none"/>
        </w:rPr>
      </w:pPr>
    </w:p>
    <w:p w14:paraId="246DC27C">
      <w:pPr>
        <w:spacing w:line="360" w:lineRule="auto"/>
        <w:jc w:val="center"/>
        <w:rPr>
          <w:rFonts w:ascii="宋体" w:hAnsi="宋体" w:cs="宋体"/>
          <w:color w:val="auto"/>
          <w:sz w:val="56"/>
          <w:szCs w:val="20"/>
          <w:highlight w:val="none"/>
        </w:rPr>
      </w:pPr>
    </w:p>
    <w:p w14:paraId="21CAE5BE">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7FDC6391">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44E49EB2">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14:paraId="11A8F798">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14:paraId="1A2F4F66">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2405B2FB">
      <w:pPr>
        <w:spacing w:line="360" w:lineRule="auto"/>
        <w:rPr>
          <w:rFonts w:ascii="宋体" w:hAnsi="宋体" w:cs="宋体"/>
          <w:color w:val="auto"/>
          <w:sz w:val="20"/>
          <w:szCs w:val="20"/>
          <w:highlight w:val="none"/>
        </w:rPr>
      </w:pPr>
    </w:p>
    <w:p w14:paraId="09B00022">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14:paraId="4001CDA0">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203A529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一、商务部分  </w:t>
      </w:r>
      <w:r>
        <w:rPr>
          <w:rFonts w:hint="eastAsia" w:ascii="宋体" w:hAnsi="宋体" w:cs="宋体"/>
          <w:color w:val="auto"/>
          <w:sz w:val="24"/>
          <w:highlight w:val="none"/>
        </w:rPr>
        <w:t>…………………………………………………………（页码）</w:t>
      </w:r>
    </w:p>
    <w:p w14:paraId="787F07B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1.投标声明书 </w:t>
      </w:r>
      <w:r>
        <w:rPr>
          <w:rFonts w:hint="eastAsia" w:ascii="宋体" w:hAnsi="宋体" w:cs="宋体"/>
          <w:color w:val="auto"/>
          <w:sz w:val="24"/>
          <w:highlight w:val="none"/>
        </w:rPr>
        <w:t>……………………………………………………………（页码）</w:t>
      </w:r>
    </w:p>
    <w:p w14:paraId="3C575B9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2.法定代表人（负责人、自然人）授权书</w:t>
      </w:r>
      <w:r>
        <w:rPr>
          <w:rFonts w:hint="eastAsia" w:ascii="宋体" w:hAnsi="宋体" w:cs="宋体"/>
          <w:color w:val="auto"/>
          <w:sz w:val="24"/>
          <w:highlight w:val="none"/>
        </w:rPr>
        <w:t>……………………………（页码）</w:t>
      </w:r>
    </w:p>
    <w:p w14:paraId="7E6233A1">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3.企业法人营业执照（或登记证书、身份证） </w:t>
      </w:r>
      <w:r>
        <w:rPr>
          <w:rFonts w:hint="eastAsia" w:ascii="宋体" w:hAnsi="宋体" w:cs="宋体"/>
          <w:color w:val="auto"/>
          <w:sz w:val="24"/>
          <w:highlight w:val="none"/>
        </w:rPr>
        <w:t>………………………（页码）</w:t>
      </w:r>
    </w:p>
    <w:p w14:paraId="18639E07">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4.投标人情况介绍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40B233C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5.近年财务状况 </w:t>
      </w:r>
      <w:r>
        <w:rPr>
          <w:rFonts w:hint="eastAsia" w:ascii="宋体" w:hAnsi="宋体" w:cs="宋体"/>
          <w:color w:val="auto"/>
          <w:sz w:val="24"/>
          <w:highlight w:val="none"/>
        </w:rPr>
        <w:t>…………………………………………………………（页码）</w:t>
      </w:r>
    </w:p>
    <w:p w14:paraId="0F7A47B2">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 xml:space="preserve">6.投标人须具有履行合同所必需的设备和专业技术能力证明资料 </w:t>
      </w:r>
      <w:r>
        <w:rPr>
          <w:rFonts w:hint="eastAsia" w:ascii="宋体" w:hAnsi="宋体" w:cs="宋体"/>
          <w:color w:val="auto"/>
          <w:sz w:val="24"/>
          <w:highlight w:val="none"/>
        </w:rPr>
        <w:t>…（页码）</w:t>
      </w:r>
    </w:p>
    <w:p w14:paraId="611D33A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纳税证明社保证明</w:t>
      </w:r>
      <w:r>
        <w:rPr>
          <w:rFonts w:hint="eastAsia" w:ascii="宋体" w:hAnsi="宋体" w:cs="宋体"/>
          <w:color w:val="auto"/>
          <w:sz w:val="24"/>
          <w:highlight w:val="none"/>
        </w:rPr>
        <w:t>……………………………………………………（页码）</w:t>
      </w:r>
    </w:p>
    <w:p w14:paraId="3854870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8.前三年内在经营活动中没有重大违法记录的书面声明 </w:t>
      </w:r>
      <w:r>
        <w:rPr>
          <w:rFonts w:hint="eastAsia" w:ascii="宋体" w:hAnsi="宋体" w:cs="宋体"/>
          <w:color w:val="auto"/>
          <w:sz w:val="24"/>
          <w:highlight w:val="none"/>
        </w:rPr>
        <w:t>……………（页码）</w:t>
      </w:r>
    </w:p>
    <w:p w14:paraId="1DCC27A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9.信用记录 </w:t>
      </w:r>
      <w:r>
        <w:rPr>
          <w:rFonts w:hint="eastAsia" w:ascii="宋体" w:hAnsi="宋体" w:cs="宋体"/>
          <w:color w:val="auto"/>
          <w:sz w:val="24"/>
          <w:highlight w:val="none"/>
        </w:rPr>
        <w:t>………………………………………………………………（页码）</w:t>
      </w:r>
    </w:p>
    <w:p w14:paraId="3C1AEA6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10.其他认证证书等</w:t>
      </w:r>
      <w:r>
        <w:rPr>
          <w:rFonts w:hint="eastAsia" w:ascii="宋体" w:hAnsi="宋体" w:cs="宋体"/>
          <w:color w:val="auto"/>
          <w:sz w:val="24"/>
          <w:highlight w:val="none"/>
        </w:rPr>
        <w:t>………………………………………………………（页码）</w:t>
      </w:r>
    </w:p>
    <w:p w14:paraId="6F9FEB2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11.类似成功业绩…………………………………………………………（页码）</w:t>
      </w:r>
    </w:p>
    <w:p w14:paraId="650D20A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12.政府采购政策扶持证明材料…………………………………………（页码）</w:t>
      </w:r>
    </w:p>
    <w:p w14:paraId="43AB10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13.关于符合本国产品标准的声明函……………………………………（页码）</w:t>
      </w:r>
    </w:p>
    <w:p w14:paraId="149FD49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14.其他证明文件或供应商认为应提交的商务文件……………………（页码）</w:t>
      </w:r>
    </w:p>
    <w:p w14:paraId="52AB9B04">
      <w:pPr>
        <w:tabs>
          <w:tab w:val="center" w:pos="4912"/>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二、技术部分  </w:t>
      </w:r>
      <w:r>
        <w:rPr>
          <w:rFonts w:hint="eastAsia" w:ascii="宋体" w:hAnsi="宋体" w:cs="宋体"/>
          <w:color w:val="auto"/>
          <w:sz w:val="24"/>
          <w:highlight w:val="none"/>
        </w:rPr>
        <w:t>……………………………………………………………（页码）</w:t>
      </w:r>
    </w:p>
    <w:p w14:paraId="1C66D37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15.技术响应偏离表</w:t>
      </w:r>
      <w:r>
        <w:rPr>
          <w:rFonts w:hint="eastAsia" w:ascii="宋体" w:hAnsi="宋体" w:cs="宋体"/>
          <w:color w:val="auto"/>
          <w:sz w:val="24"/>
          <w:highlight w:val="none"/>
        </w:rPr>
        <w:t>………………………………………………………（页码）</w:t>
      </w:r>
    </w:p>
    <w:p w14:paraId="2FCACB4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16.产品详细技术规格书</w:t>
      </w:r>
      <w:r>
        <w:rPr>
          <w:rFonts w:hint="eastAsia" w:ascii="宋体" w:hAnsi="宋体" w:cs="宋体"/>
          <w:color w:val="auto"/>
          <w:sz w:val="24"/>
          <w:highlight w:val="none"/>
        </w:rPr>
        <w:t>…………………………………………………（页码）</w:t>
      </w:r>
    </w:p>
    <w:p w14:paraId="11E631B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17.产品检测报告 </w:t>
      </w:r>
      <w:r>
        <w:rPr>
          <w:rFonts w:hint="eastAsia" w:ascii="宋体" w:hAnsi="宋体" w:cs="宋体"/>
          <w:color w:val="auto"/>
          <w:sz w:val="24"/>
          <w:highlight w:val="none"/>
        </w:rPr>
        <w:t>………………………………………………………（页码）</w:t>
      </w:r>
    </w:p>
    <w:p w14:paraId="470E5D8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18.针对本项目的详细组织实施方案 </w:t>
      </w:r>
      <w:r>
        <w:rPr>
          <w:rFonts w:hint="eastAsia" w:ascii="宋体" w:hAnsi="宋体" w:cs="宋体"/>
          <w:color w:val="auto"/>
          <w:sz w:val="24"/>
          <w:highlight w:val="none"/>
        </w:rPr>
        <w:t>…………………………………（页码）</w:t>
      </w:r>
    </w:p>
    <w:p w14:paraId="0D25C26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19.针对本项目的详细技术培训方案 </w:t>
      </w:r>
      <w:r>
        <w:rPr>
          <w:rFonts w:hint="eastAsia" w:ascii="宋体" w:hAnsi="宋体" w:cs="宋体"/>
          <w:color w:val="auto"/>
          <w:sz w:val="24"/>
          <w:highlight w:val="none"/>
        </w:rPr>
        <w:t>…………………………………（页码）</w:t>
      </w:r>
    </w:p>
    <w:p w14:paraId="7CA0C20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20.针对本项目的售后服务方案 </w:t>
      </w:r>
      <w:r>
        <w:rPr>
          <w:rFonts w:hint="eastAsia" w:ascii="宋体" w:hAnsi="宋体" w:cs="宋体"/>
          <w:color w:val="auto"/>
          <w:sz w:val="24"/>
          <w:highlight w:val="none"/>
        </w:rPr>
        <w:t>………………………………………（页码）</w:t>
      </w:r>
    </w:p>
    <w:p w14:paraId="3E3FD4F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21.其他优惠条件（如有）</w:t>
      </w:r>
      <w:r>
        <w:rPr>
          <w:rFonts w:hint="eastAsia" w:ascii="宋体" w:hAnsi="宋体" w:cs="宋体"/>
          <w:color w:val="auto"/>
          <w:sz w:val="24"/>
          <w:highlight w:val="none"/>
        </w:rPr>
        <w:t>………………………………………………（页码）</w:t>
      </w:r>
    </w:p>
    <w:p w14:paraId="31D8F21A">
      <w:pPr>
        <w:adjustRightInd w:val="0"/>
        <w:snapToGrid w:val="0"/>
        <w:ind w:firstLine="480" w:firstLineChars="200"/>
        <w:rPr>
          <w:rFonts w:ascii="宋体" w:hAnsi="宋体" w:cs="宋体"/>
          <w:color w:val="auto"/>
          <w:sz w:val="24"/>
          <w:highlight w:val="none"/>
        </w:rPr>
      </w:pPr>
      <w:r>
        <w:rPr>
          <w:rFonts w:hint="eastAsia" w:ascii="宋体" w:hAnsi="宋体" w:cs="宋体"/>
          <w:color w:val="auto"/>
          <w:sz w:val="24"/>
          <w:szCs w:val="24"/>
          <w:highlight w:val="none"/>
        </w:rPr>
        <w:t>22.供应商认为需要提供的其他技术文件或资料（如有）</w:t>
      </w:r>
      <w:r>
        <w:rPr>
          <w:rFonts w:hint="eastAsia" w:ascii="宋体" w:hAnsi="宋体" w:cs="宋体"/>
          <w:color w:val="auto"/>
          <w:sz w:val="24"/>
          <w:highlight w:val="none"/>
        </w:rPr>
        <w:t>……………（页码）</w:t>
      </w:r>
    </w:p>
    <w:p w14:paraId="6ACC8D09">
      <w:pPr>
        <w:spacing w:line="360" w:lineRule="auto"/>
        <w:ind w:left="719" w:leftChars="228" w:hanging="240" w:hangingChars="100"/>
        <w:rPr>
          <w:rFonts w:ascii="宋体" w:hAnsi="宋体" w:cs="宋体"/>
          <w:color w:val="auto"/>
          <w:sz w:val="24"/>
          <w:szCs w:val="24"/>
          <w:highlight w:val="none"/>
        </w:rPr>
      </w:pPr>
    </w:p>
    <w:p w14:paraId="444B77F3">
      <w:pPr>
        <w:rPr>
          <w:color w:val="auto"/>
          <w:highlight w:val="none"/>
        </w:rPr>
      </w:pPr>
    </w:p>
    <w:p w14:paraId="1E456B7D">
      <w:pPr>
        <w:rPr>
          <w:color w:val="auto"/>
          <w:highlight w:val="none"/>
        </w:rPr>
      </w:pPr>
    </w:p>
    <w:p w14:paraId="68395574">
      <w:pPr>
        <w:rPr>
          <w:color w:val="auto"/>
          <w:highlight w:val="none"/>
        </w:rPr>
      </w:pPr>
    </w:p>
    <w:p w14:paraId="7A902212">
      <w:pPr>
        <w:rPr>
          <w:color w:val="auto"/>
          <w:highlight w:val="none"/>
        </w:rPr>
      </w:pPr>
    </w:p>
    <w:p w14:paraId="06781211">
      <w:pPr>
        <w:rPr>
          <w:color w:val="auto"/>
          <w:highlight w:val="none"/>
        </w:rPr>
      </w:pPr>
    </w:p>
    <w:p w14:paraId="4759BDAA">
      <w:pPr>
        <w:rPr>
          <w:color w:val="auto"/>
          <w:highlight w:val="none"/>
        </w:rPr>
      </w:pPr>
    </w:p>
    <w:p w14:paraId="58CDF208">
      <w:pPr>
        <w:rPr>
          <w:color w:val="auto"/>
          <w:highlight w:val="none"/>
        </w:rPr>
      </w:pPr>
    </w:p>
    <w:p w14:paraId="6FCAFD7C">
      <w:pPr>
        <w:adjustRightInd w:val="0"/>
        <w:snapToGrid w:val="0"/>
        <w:rPr>
          <w:rFonts w:ascii="宋体" w:hAnsi="宋体" w:cs="宋体"/>
          <w:b/>
          <w:color w:val="auto"/>
          <w:sz w:val="28"/>
          <w:szCs w:val="28"/>
          <w:highlight w:val="none"/>
        </w:rPr>
      </w:pPr>
    </w:p>
    <w:tbl>
      <w:tblPr>
        <w:tblStyle w:val="39"/>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14:paraId="0C9D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14:paraId="596B836B">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14:paraId="01BE3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122A779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14:paraId="023A50D8">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14:paraId="123C2D69">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14:paraId="29A6DECE">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0FCA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A635CA5">
            <w:pPr>
              <w:adjustRightInd w:val="0"/>
              <w:snapToGrid w:val="0"/>
              <w:rPr>
                <w:rFonts w:ascii="宋体" w:hAnsi="宋体" w:cs="宋体"/>
                <w:b/>
                <w:color w:val="auto"/>
                <w:sz w:val="24"/>
                <w:szCs w:val="24"/>
                <w:highlight w:val="none"/>
              </w:rPr>
            </w:pPr>
          </w:p>
        </w:tc>
        <w:tc>
          <w:tcPr>
            <w:tcW w:w="2000" w:type="dxa"/>
          </w:tcPr>
          <w:p w14:paraId="50E61729">
            <w:pPr>
              <w:adjustRightInd w:val="0"/>
              <w:snapToGrid w:val="0"/>
              <w:rPr>
                <w:rFonts w:ascii="宋体" w:hAnsi="宋体" w:cs="宋体"/>
                <w:b/>
                <w:color w:val="auto"/>
                <w:sz w:val="24"/>
                <w:szCs w:val="24"/>
                <w:highlight w:val="none"/>
              </w:rPr>
            </w:pPr>
          </w:p>
        </w:tc>
        <w:tc>
          <w:tcPr>
            <w:tcW w:w="2783" w:type="dxa"/>
          </w:tcPr>
          <w:p w14:paraId="26135BFC">
            <w:pPr>
              <w:adjustRightInd w:val="0"/>
              <w:snapToGrid w:val="0"/>
              <w:rPr>
                <w:rFonts w:ascii="宋体" w:hAnsi="宋体" w:cs="宋体"/>
                <w:b/>
                <w:color w:val="auto"/>
                <w:sz w:val="24"/>
                <w:szCs w:val="24"/>
                <w:highlight w:val="none"/>
              </w:rPr>
            </w:pPr>
          </w:p>
        </w:tc>
        <w:tc>
          <w:tcPr>
            <w:tcW w:w="2584" w:type="dxa"/>
          </w:tcPr>
          <w:p w14:paraId="4FBC8F17">
            <w:pPr>
              <w:adjustRightInd w:val="0"/>
              <w:snapToGrid w:val="0"/>
              <w:rPr>
                <w:rFonts w:ascii="宋体" w:hAnsi="宋体" w:cs="宋体"/>
                <w:b/>
                <w:color w:val="auto"/>
                <w:sz w:val="24"/>
                <w:szCs w:val="24"/>
                <w:highlight w:val="none"/>
              </w:rPr>
            </w:pPr>
          </w:p>
        </w:tc>
      </w:tr>
      <w:tr w14:paraId="380D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B8E425B">
            <w:pPr>
              <w:adjustRightInd w:val="0"/>
              <w:snapToGrid w:val="0"/>
              <w:rPr>
                <w:rFonts w:ascii="宋体" w:hAnsi="宋体" w:cs="宋体"/>
                <w:b/>
                <w:color w:val="auto"/>
                <w:sz w:val="24"/>
                <w:szCs w:val="24"/>
                <w:highlight w:val="none"/>
              </w:rPr>
            </w:pPr>
          </w:p>
        </w:tc>
        <w:tc>
          <w:tcPr>
            <w:tcW w:w="2000" w:type="dxa"/>
          </w:tcPr>
          <w:p w14:paraId="7B947240">
            <w:pPr>
              <w:adjustRightInd w:val="0"/>
              <w:snapToGrid w:val="0"/>
              <w:rPr>
                <w:rFonts w:ascii="宋体" w:hAnsi="宋体" w:cs="宋体"/>
                <w:b/>
                <w:color w:val="auto"/>
                <w:sz w:val="24"/>
                <w:szCs w:val="24"/>
                <w:highlight w:val="none"/>
              </w:rPr>
            </w:pPr>
          </w:p>
        </w:tc>
        <w:tc>
          <w:tcPr>
            <w:tcW w:w="2783" w:type="dxa"/>
          </w:tcPr>
          <w:p w14:paraId="08EFEF40">
            <w:pPr>
              <w:adjustRightInd w:val="0"/>
              <w:snapToGrid w:val="0"/>
              <w:rPr>
                <w:rFonts w:ascii="宋体" w:hAnsi="宋体" w:cs="宋体"/>
                <w:b/>
                <w:color w:val="auto"/>
                <w:sz w:val="24"/>
                <w:szCs w:val="24"/>
                <w:highlight w:val="none"/>
              </w:rPr>
            </w:pPr>
          </w:p>
        </w:tc>
        <w:tc>
          <w:tcPr>
            <w:tcW w:w="2584" w:type="dxa"/>
          </w:tcPr>
          <w:p w14:paraId="77BA103C">
            <w:pPr>
              <w:adjustRightInd w:val="0"/>
              <w:snapToGrid w:val="0"/>
              <w:rPr>
                <w:rFonts w:ascii="宋体" w:hAnsi="宋体" w:cs="宋体"/>
                <w:b/>
                <w:color w:val="auto"/>
                <w:sz w:val="24"/>
                <w:szCs w:val="24"/>
                <w:highlight w:val="none"/>
              </w:rPr>
            </w:pPr>
          </w:p>
        </w:tc>
      </w:tr>
      <w:tr w14:paraId="4176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52BC1BF">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14:paraId="7AB47B79">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14:paraId="78F1CEE9">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14:paraId="6F9BA78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14:paraId="0917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A713D27">
            <w:pPr>
              <w:adjustRightInd w:val="0"/>
              <w:snapToGrid w:val="0"/>
              <w:rPr>
                <w:rFonts w:ascii="宋体" w:hAnsi="宋体" w:cs="宋体"/>
                <w:b/>
                <w:color w:val="auto"/>
                <w:sz w:val="24"/>
                <w:szCs w:val="24"/>
                <w:highlight w:val="none"/>
              </w:rPr>
            </w:pPr>
          </w:p>
        </w:tc>
        <w:tc>
          <w:tcPr>
            <w:tcW w:w="2000" w:type="dxa"/>
          </w:tcPr>
          <w:p w14:paraId="6543ED10">
            <w:pPr>
              <w:adjustRightInd w:val="0"/>
              <w:snapToGrid w:val="0"/>
              <w:rPr>
                <w:rFonts w:ascii="宋体" w:hAnsi="宋体" w:cs="宋体"/>
                <w:b/>
                <w:color w:val="auto"/>
                <w:sz w:val="24"/>
                <w:szCs w:val="24"/>
                <w:highlight w:val="none"/>
              </w:rPr>
            </w:pPr>
          </w:p>
        </w:tc>
        <w:tc>
          <w:tcPr>
            <w:tcW w:w="2783" w:type="dxa"/>
          </w:tcPr>
          <w:p w14:paraId="79EA6E3A">
            <w:pPr>
              <w:adjustRightInd w:val="0"/>
              <w:snapToGrid w:val="0"/>
              <w:rPr>
                <w:rFonts w:ascii="宋体" w:hAnsi="宋体" w:cs="宋体"/>
                <w:b/>
                <w:color w:val="auto"/>
                <w:sz w:val="24"/>
                <w:szCs w:val="24"/>
                <w:highlight w:val="none"/>
              </w:rPr>
            </w:pPr>
          </w:p>
        </w:tc>
        <w:tc>
          <w:tcPr>
            <w:tcW w:w="2584" w:type="dxa"/>
          </w:tcPr>
          <w:p w14:paraId="3193AB18">
            <w:pPr>
              <w:adjustRightInd w:val="0"/>
              <w:snapToGrid w:val="0"/>
              <w:rPr>
                <w:rFonts w:ascii="宋体" w:hAnsi="宋体" w:cs="宋体"/>
                <w:b/>
                <w:color w:val="auto"/>
                <w:sz w:val="24"/>
                <w:szCs w:val="24"/>
                <w:highlight w:val="none"/>
              </w:rPr>
            </w:pPr>
          </w:p>
        </w:tc>
      </w:tr>
      <w:tr w14:paraId="4074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88868FF">
            <w:pPr>
              <w:adjustRightInd w:val="0"/>
              <w:snapToGrid w:val="0"/>
              <w:rPr>
                <w:rFonts w:ascii="宋体" w:hAnsi="宋体" w:cs="宋体"/>
                <w:b/>
                <w:color w:val="auto"/>
                <w:sz w:val="24"/>
                <w:szCs w:val="24"/>
                <w:highlight w:val="none"/>
              </w:rPr>
            </w:pPr>
          </w:p>
        </w:tc>
        <w:tc>
          <w:tcPr>
            <w:tcW w:w="2000" w:type="dxa"/>
          </w:tcPr>
          <w:p w14:paraId="5430FE17">
            <w:pPr>
              <w:adjustRightInd w:val="0"/>
              <w:snapToGrid w:val="0"/>
              <w:rPr>
                <w:rFonts w:ascii="宋体" w:hAnsi="宋体" w:cs="宋体"/>
                <w:b/>
                <w:color w:val="auto"/>
                <w:sz w:val="24"/>
                <w:szCs w:val="24"/>
                <w:highlight w:val="none"/>
              </w:rPr>
            </w:pPr>
          </w:p>
        </w:tc>
        <w:tc>
          <w:tcPr>
            <w:tcW w:w="2783" w:type="dxa"/>
          </w:tcPr>
          <w:p w14:paraId="76909111">
            <w:pPr>
              <w:adjustRightInd w:val="0"/>
              <w:snapToGrid w:val="0"/>
              <w:rPr>
                <w:rFonts w:ascii="宋体" w:hAnsi="宋体" w:cs="宋体"/>
                <w:b/>
                <w:color w:val="auto"/>
                <w:sz w:val="24"/>
                <w:szCs w:val="24"/>
                <w:highlight w:val="none"/>
              </w:rPr>
            </w:pPr>
          </w:p>
        </w:tc>
        <w:tc>
          <w:tcPr>
            <w:tcW w:w="2584" w:type="dxa"/>
          </w:tcPr>
          <w:p w14:paraId="231A3BC7">
            <w:pPr>
              <w:adjustRightInd w:val="0"/>
              <w:snapToGrid w:val="0"/>
              <w:rPr>
                <w:rFonts w:ascii="宋体" w:hAnsi="宋体" w:cs="宋体"/>
                <w:b/>
                <w:color w:val="auto"/>
                <w:sz w:val="24"/>
                <w:szCs w:val="24"/>
                <w:highlight w:val="none"/>
              </w:rPr>
            </w:pPr>
          </w:p>
        </w:tc>
      </w:tr>
      <w:tr w14:paraId="2E64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3EF75368">
            <w:pPr>
              <w:adjustRightInd w:val="0"/>
              <w:snapToGrid w:val="0"/>
              <w:rPr>
                <w:rFonts w:ascii="宋体" w:hAnsi="宋体" w:cs="宋体"/>
                <w:b/>
                <w:color w:val="auto"/>
                <w:sz w:val="24"/>
                <w:szCs w:val="24"/>
                <w:highlight w:val="none"/>
              </w:rPr>
            </w:pPr>
          </w:p>
        </w:tc>
        <w:tc>
          <w:tcPr>
            <w:tcW w:w="2000" w:type="dxa"/>
          </w:tcPr>
          <w:p w14:paraId="314792E0">
            <w:pPr>
              <w:adjustRightInd w:val="0"/>
              <w:snapToGrid w:val="0"/>
              <w:rPr>
                <w:rFonts w:ascii="宋体" w:hAnsi="宋体" w:cs="宋体"/>
                <w:b/>
                <w:color w:val="auto"/>
                <w:sz w:val="24"/>
                <w:szCs w:val="24"/>
                <w:highlight w:val="none"/>
              </w:rPr>
            </w:pPr>
          </w:p>
        </w:tc>
        <w:tc>
          <w:tcPr>
            <w:tcW w:w="2783" w:type="dxa"/>
          </w:tcPr>
          <w:p w14:paraId="21DA69E7">
            <w:pPr>
              <w:adjustRightInd w:val="0"/>
              <w:snapToGrid w:val="0"/>
              <w:rPr>
                <w:rFonts w:ascii="宋体" w:hAnsi="宋体" w:cs="宋体"/>
                <w:b/>
                <w:color w:val="auto"/>
                <w:sz w:val="24"/>
                <w:szCs w:val="24"/>
                <w:highlight w:val="none"/>
              </w:rPr>
            </w:pPr>
          </w:p>
        </w:tc>
        <w:tc>
          <w:tcPr>
            <w:tcW w:w="2584" w:type="dxa"/>
          </w:tcPr>
          <w:p w14:paraId="531D842E">
            <w:pPr>
              <w:adjustRightInd w:val="0"/>
              <w:snapToGrid w:val="0"/>
              <w:rPr>
                <w:rFonts w:ascii="宋体" w:hAnsi="宋体" w:cs="宋体"/>
                <w:b/>
                <w:color w:val="auto"/>
                <w:sz w:val="24"/>
                <w:szCs w:val="24"/>
                <w:highlight w:val="none"/>
              </w:rPr>
            </w:pPr>
          </w:p>
        </w:tc>
      </w:tr>
      <w:tr w14:paraId="2F48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9562F0E">
            <w:pPr>
              <w:adjustRightInd w:val="0"/>
              <w:snapToGrid w:val="0"/>
              <w:rPr>
                <w:rFonts w:ascii="宋体" w:hAnsi="宋体" w:cs="宋体"/>
                <w:b/>
                <w:color w:val="auto"/>
                <w:sz w:val="24"/>
                <w:szCs w:val="24"/>
                <w:highlight w:val="none"/>
              </w:rPr>
            </w:pPr>
          </w:p>
        </w:tc>
        <w:tc>
          <w:tcPr>
            <w:tcW w:w="2000" w:type="dxa"/>
          </w:tcPr>
          <w:p w14:paraId="2A5818E2">
            <w:pPr>
              <w:adjustRightInd w:val="0"/>
              <w:snapToGrid w:val="0"/>
              <w:rPr>
                <w:rFonts w:ascii="宋体" w:hAnsi="宋体" w:cs="宋体"/>
                <w:b/>
                <w:color w:val="auto"/>
                <w:sz w:val="24"/>
                <w:szCs w:val="24"/>
                <w:highlight w:val="none"/>
              </w:rPr>
            </w:pPr>
          </w:p>
        </w:tc>
        <w:tc>
          <w:tcPr>
            <w:tcW w:w="2783" w:type="dxa"/>
          </w:tcPr>
          <w:p w14:paraId="10BF660E">
            <w:pPr>
              <w:adjustRightInd w:val="0"/>
              <w:snapToGrid w:val="0"/>
              <w:rPr>
                <w:rFonts w:ascii="宋体" w:hAnsi="宋体" w:cs="宋体"/>
                <w:b/>
                <w:color w:val="auto"/>
                <w:sz w:val="24"/>
                <w:szCs w:val="24"/>
                <w:highlight w:val="none"/>
              </w:rPr>
            </w:pPr>
          </w:p>
        </w:tc>
        <w:tc>
          <w:tcPr>
            <w:tcW w:w="2584" w:type="dxa"/>
          </w:tcPr>
          <w:p w14:paraId="19BAD34C">
            <w:pPr>
              <w:adjustRightInd w:val="0"/>
              <w:snapToGrid w:val="0"/>
              <w:rPr>
                <w:rFonts w:ascii="宋体" w:hAnsi="宋体" w:cs="宋体"/>
                <w:b/>
                <w:color w:val="auto"/>
                <w:sz w:val="24"/>
                <w:szCs w:val="24"/>
                <w:highlight w:val="none"/>
              </w:rPr>
            </w:pPr>
          </w:p>
        </w:tc>
      </w:tr>
      <w:tr w14:paraId="2AA0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15A8588B">
            <w:pPr>
              <w:adjustRightInd w:val="0"/>
              <w:snapToGrid w:val="0"/>
              <w:rPr>
                <w:rFonts w:ascii="宋体" w:hAnsi="宋体" w:cs="宋体"/>
                <w:b/>
                <w:color w:val="auto"/>
                <w:sz w:val="24"/>
                <w:szCs w:val="24"/>
                <w:highlight w:val="none"/>
              </w:rPr>
            </w:pPr>
          </w:p>
        </w:tc>
        <w:tc>
          <w:tcPr>
            <w:tcW w:w="2000" w:type="dxa"/>
          </w:tcPr>
          <w:p w14:paraId="76599CBE">
            <w:pPr>
              <w:adjustRightInd w:val="0"/>
              <w:snapToGrid w:val="0"/>
              <w:rPr>
                <w:rFonts w:ascii="宋体" w:hAnsi="宋体" w:cs="宋体"/>
                <w:b/>
                <w:color w:val="auto"/>
                <w:sz w:val="24"/>
                <w:szCs w:val="24"/>
                <w:highlight w:val="none"/>
              </w:rPr>
            </w:pPr>
          </w:p>
        </w:tc>
        <w:tc>
          <w:tcPr>
            <w:tcW w:w="2783" w:type="dxa"/>
          </w:tcPr>
          <w:p w14:paraId="66DF1377">
            <w:pPr>
              <w:adjustRightInd w:val="0"/>
              <w:snapToGrid w:val="0"/>
              <w:rPr>
                <w:rFonts w:ascii="宋体" w:hAnsi="宋体" w:cs="宋体"/>
                <w:b/>
                <w:color w:val="auto"/>
                <w:sz w:val="24"/>
                <w:szCs w:val="24"/>
                <w:highlight w:val="none"/>
              </w:rPr>
            </w:pPr>
          </w:p>
        </w:tc>
        <w:tc>
          <w:tcPr>
            <w:tcW w:w="2584" w:type="dxa"/>
          </w:tcPr>
          <w:p w14:paraId="16FAB28C">
            <w:pPr>
              <w:adjustRightInd w:val="0"/>
              <w:snapToGrid w:val="0"/>
              <w:rPr>
                <w:rFonts w:ascii="宋体" w:hAnsi="宋体" w:cs="宋体"/>
                <w:b/>
                <w:color w:val="auto"/>
                <w:sz w:val="24"/>
                <w:szCs w:val="24"/>
                <w:highlight w:val="none"/>
              </w:rPr>
            </w:pPr>
          </w:p>
        </w:tc>
      </w:tr>
      <w:tr w14:paraId="0664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352D975">
            <w:pPr>
              <w:adjustRightInd w:val="0"/>
              <w:snapToGrid w:val="0"/>
              <w:rPr>
                <w:rFonts w:ascii="宋体" w:hAnsi="宋体" w:cs="宋体"/>
                <w:b/>
                <w:color w:val="auto"/>
                <w:sz w:val="24"/>
                <w:szCs w:val="24"/>
                <w:highlight w:val="none"/>
              </w:rPr>
            </w:pPr>
          </w:p>
        </w:tc>
        <w:tc>
          <w:tcPr>
            <w:tcW w:w="2000" w:type="dxa"/>
          </w:tcPr>
          <w:p w14:paraId="7C6D4700">
            <w:pPr>
              <w:adjustRightInd w:val="0"/>
              <w:snapToGrid w:val="0"/>
              <w:rPr>
                <w:rFonts w:ascii="宋体" w:hAnsi="宋体" w:cs="宋体"/>
                <w:b/>
                <w:color w:val="auto"/>
                <w:sz w:val="24"/>
                <w:szCs w:val="24"/>
                <w:highlight w:val="none"/>
              </w:rPr>
            </w:pPr>
          </w:p>
        </w:tc>
        <w:tc>
          <w:tcPr>
            <w:tcW w:w="2783" w:type="dxa"/>
          </w:tcPr>
          <w:p w14:paraId="0749C19E">
            <w:pPr>
              <w:adjustRightInd w:val="0"/>
              <w:snapToGrid w:val="0"/>
              <w:rPr>
                <w:rFonts w:ascii="宋体" w:hAnsi="宋体" w:cs="宋体"/>
                <w:b/>
                <w:color w:val="auto"/>
                <w:sz w:val="24"/>
                <w:szCs w:val="24"/>
                <w:highlight w:val="none"/>
              </w:rPr>
            </w:pPr>
          </w:p>
        </w:tc>
        <w:tc>
          <w:tcPr>
            <w:tcW w:w="2584" w:type="dxa"/>
          </w:tcPr>
          <w:p w14:paraId="33956C31">
            <w:pPr>
              <w:adjustRightInd w:val="0"/>
              <w:snapToGrid w:val="0"/>
              <w:rPr>
                <w:rFonts w:ascii="宋体" w:hAnsi="宋体" w:cs="宋体"/>
                <w:b/>
                <w:color w:val="auto"/>
                <w:sz w:val="24"/>
                <w:szCs w:val="24"/>
                <w:highlight w:val="none"/>
              </w:rPr>
            </w:pPr>
          </w:p>
        </w:tc>
      </w:tr>
    </w:tbl>
    <w:p w14:paraId="5559238D">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7B5C11F">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14:paraId="72BEA77D">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14:paraId="172C4F76">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19F12ED2">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（投标人名称）  </w:t>
      </w:r>
      <w:r>
        <w:rPr>
          <w:rFonts w:hint="eastAsia" w:ascii="宋体" w:hAnsi="宋体" w:cs="宋体"/>
          <w:color w:val="auto"/>
          <w:sz w:val="24"/>
          <w:szCs w:val="24"/>
          <w:highlight w:val="none"/>
        </w:rPr>
        <w:t>系中华人民共和国合法企业（其他组织），经营地址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49DF6AB">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的法定代表人（负责人），我方愿意参加贵方组织的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的投标，为便于贵方公正、择优地确定中标人及其投标产品和服务，我方就本次投标有关事项郑重声明如下：</w:t>
      </w:r>
    </w:p>
    <w:p w14:paraId="4B0CE9CB">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14:paraId="4971EB42">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14:paraId="325B2D00">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14:paraId="6EDA33A9">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14:paraId="43FCD25B">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14:paraId="551EBF8E">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14:paraId="17A783E7">
      <w:pPr>
        <w:adjustRightInd w:val="0"/>
        <w:snapToGrid w:val="0"/>
        <w:spacing w:line="400" w:lineRule="exact"/>
        <w:ind w:left="-4" w:leftChars="-2" w:right="-817" w:rightChars="-389" w:firstLine="2"/>
        <w:rPr>
          <w:rFonts w:ascii="宋体" w:hAnsi="宋体" w:cs="宋体"/>
          <w:color w:val="auto"/>
          <w:sz w:val="24"/>
          <w:szCs w:val="24"/>
          <w:highlight w:val="none"/>
        </w:rPr>
      </w:pPr>
    </w:p>
    <w:p w14:paraId="107BFC2E">
      <w:pPr>
        <w:adjustRightInd w:val="0"/>
        <w:snapToGrid w:val="0"/>
        <w:spacing w:line="400" w:lineRule="exact"/>
        <w:ind w:left="-4" w:leftChars="-2" w:right="-817" w:rightChars="-389" w:firstLine="2"/>
        <w:rPr>
          <w:rFonts w:ascii="宋体" w:hAnsi="宋体" w:cs="宋体"/>
          <w:color w:val="auto"/>
          <w:sz w:val="24"/>
          <w:szCs w:val="24"/>
          <w:highlight w:val="none"/>
        </w:rPr>
      </w:pPr>
    </w:p>
    <w:p w14:paraId="7F861A38">
      <w:pPr>
        <w:adjustRightInd w:val="0"/>
        <w:snapToGrid w:val="0"/>
        <w:spacing w:line="400" w:lineRule="exact"/>
        <w:ind w:left="-4" w:leftChars="-2" w:right="-817" w:rightChars="-389" w:firstLine="2"/>
        <w:rPr>
          <w:rFonts w:ascii="宋体" w:hAnsi="宋体" w:cs="宋体"/>
          <w:color w:val="auto"/>
          <w:sz w:val="24"/>
          <w:szCs w:val="24"/>
          <w:highlight w:val="none"/>
        </w:rPr>
      </w:pPr>
    </w:p>
    <w:p w14:paraId="56A8C84F">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2419632E">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7CFEA570">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01DAFB3">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14:paraId="1DEA432A">
      <w:pPr>
        <w:adjustRightInd w:val="0"/>
        <w:snapToGrid w:val="0"/>
        <w:spacing w:line="360" w:lineRule="auto"/>
        <w:jc w:val="center"/>
        <w:rPr>
          <w:rFonts w:ascii="宋体" w:hAnsi="宋体" w:cs="宋体"/>
          <w:color w:val="auto"/>
          <w:sz w:val="24"/>
          <w:szCs w:val="24"/>
          <w:highlight w:val="none"/>
        </w:rPr>
      </w:pPr>
    </w:p>
    <w:p w14:paraId="3F1F73A1">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14:paraId="34A3CB5E">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u w:val="single"/>
        </w:rPr>
        <w:t xml:space="preserve">（采购代理机构名称）       </w:t>
      </w:r>
      <w:r>
        <w:rPr>
          <w:rFonts w:hint="eastAsia" w:ascii="宋体" w:hAnsi="宋体" w:cs="宋体"/>
          <w:color w:val="auto"/>
          <w:sz w:val="24"/>
          <w:szCs w:val="24"/>
          <w:highlight w:val="none"/>
        </w:rPr>
        <w:t>：</w:t>
      </w:r>
    </w:p>
    <w:p w14:paraId="0ABDB3DD">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w:t>
      </w:r>
      <w:r>
        <w:rPr>
          <w:rFonts w:hint="eastAsia" w:ascii="宋体" w:hAnsi="宋体" w:cs="宋体"/>
          <w:color w:val="auto"/>
          <w:sz w:val="24"/>
          <w:szCs w:val="24"/>
          <w:highlight w:val="none"/>
          <w:u w:val="single"/>
        </w:rPr>
        <w:t>（负责人、自然人）</w:t>
      </w:r>
      <w:r>
        <w:rPr>
          <w:rFonts w:hint="eastAsia" w:ascii="宋体" w:hAnsi="宋体" w:cs="宋体"/>
          <w:color w:val="auto"/>
          <w:sz w:val="24"/>
          <w:szCs w:val="24"/>
          <w:highlight w:val="none"/>
        </w:rPr>
        <w:t>，现授权委托</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以我方的名义参加</w:t>
      </w:r>
      <w:r>
        <w:rPr>
          <w:rFonts w:hint="eastAsia" w:ascii="宋体" w:hAnsi="宋体" w:cs="宋体"/>
          <w:color w:val="auto"/>
          <w:sz w:val="24"/>
          <w:szCs w:val="24"/>
          <w:highlight w:val="none"/>
          <w:u w:val="single"/>
        </w:rPr>
        <w:t xml:space="preserve">     项目（项目编号：        ）</w:t>
      </w:r>
      <w:r>
        <w:rPr>
          <w:rFonts w:hint="eastAsia" w:ascii="宋体" w:hAnsi="宋体" w:cs="宋体"/>
          <w:color w:val="auto"/>
          <w:sz w:val="24"/>
          <w:szCs w:val="24"/>
          <w:highlight w:val="none"/>
        </w:rPr>
        <w:t>的投标活动，并代表我方全权办理针对上述项目的投标、开标、评标、签约等具体事务和签署相关文件。</w:t>
      </w:r>
    </w:p>
    <w:p w14:paraId="2AA9C92D">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14:paraId="4E979D69">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14:paraId="297EABB9">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14:paraId="7B8EA53B">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14:paraId="2A65BE26">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14:paraId="1C3C7912">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14:paraId="56FD6308">
      <w:pPr>
        <w:adjustRightInd w:val="0"/>
        <w:snapToGrid w:val="0"/>
        <w:spacing w:line="360" w:lineRule="auto"/>
        <w:rPr>
          <w:rFonts w:ascii="宋体" w:hAnsi="宋体" w:cs="宋体"/>
          <w:color w:val="auto"/>
          <w:sz w:val="24"/>
          <w:szCs w:val="24"/>
          <w:highlight w:val="none"/>
        </w:rPr>
      </w:pPr>
    </w:p>
    <w:tbl>
      <w:tblPr>
        <w:tblStyle w:val="3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14:paraId="0D6C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14:paraId="51CD0C49">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14:paraId="425D3951">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14:paraId="6F44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14:paraId="1C843D73">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14:paraId="18361EB3">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14:paraId="315C2782">
      <w:pPr>
        <w:adjustRightInd w:val="0"/>
        <w:snapToGrid w:val="0"/>
        <w:spacing w:line="360" w:lineRule="auto"/>
        <w:ind w:right="480"/>
        <w:jc w:val="center"/>
        <w:rPr>
          <w:rFonts w:ascii="宋体" w:hAnsi="宋体" w:cs="宋体"/>
          <w:color w:val="auto"/>
          <w:sz w:val="24"/>
          <w:szCs w:val="24"/>
          <w:highlight w:val="none"/>
        </w:rPr>
      </w:pPr>
    </w:p>
    <w:p w14:paraId="37646E62">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14:paraId="22EB7C5F">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F0F0906">
      <w:pPr>
        <w:adjustRightInd w:val="0"/>
        <w:snapToGrid w:val="0"/>
        <w:spacing w:line="360" w:lineRule="auto"/>
        <w:rPr>
          <w:rFonts w:ascii="宋体" w:hAnsi="宋体" w:cs="宋体"/>
          <w:b/>
          <w:color w:val="auto"/>
          <w:sz w:val="24"/>
          <w:szCs w:val="24"/>
          <w:highlight w:val="none"/>
        </w:rPr>
      </w:pPr>
    </w:p>
    <w:p w14:paraId="3EDA1414">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14:paraId="4F41287E">
      <w:pPr>
        <w:adjustRightInd w:val="0"/>
        <w:snapToGrid w:val="0"/>
        <w:spacing w:line="400" w:lineRule="exact"/>
        <w:jc w:val="left"/>
        <w:rPr>
          <w:rFonts w:ascii="宋体" w:hAnsi="宋体" w:cs="宋体"/>
          <w:b/>
          <w:color w:val="auto"/>
          <w:sz w:val="24"/>
          <w:szCs w:val="24"/>
          <w:highlight w:val="none"/>
        </w:rPr>
      </w:pPr>
    </w:p>
    <w:p w14:paraId="11BB52D3">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A653574">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14:paraId="77C083F2">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14:paraId="2F92CED4">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9"/>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14:paraId="5257F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2E1574D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14:paraId="0830C73C">
            <w:pPr>
              <w:pStyle w:val="187"/>
              <w:numPr>
                <w:ilvl w:val="0"/>
                <w:numId w:val="9"/>
              </w:numPr>
              <w:spacing w:line="400" w:lineRule="exact"/>
              <w:ind w:firstLineChars="0"/>
              <w:rPr>
                <w:rFonts w:ascii="宋体" w:hAnsi="宋体" w:cs="宋体"/>
                <w:color w:val="auto"/>
                <w:sz w:val="24"/>
                <w:szCs w:val="24"/>
                <w:highlight w:val="none"/>
              </w:rPr>
            </w:pPr>
          </w:p>
        </w:tc>
      </w:tr>
      <w:tr w14:paraId="4148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14649BE1">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14:paraId="72BCD27D">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50E3F7C0">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14:paraId="54A461C8">
            <w:pPr>
              <w:pStyle w:val="187"/>
              <w:numPr>
                <w:ilvl w:val="0"/>
                <w:numId w:val="9"/>
              </w:numPr>
              <w:spacing w:line="400" w:lineRule="exact"/>
              <w:ind w:firstLineChars="0"/>
              <w:rPr>
                <w:rFonts w:ascii="宋体" w:hAnsi="宋体" w:cs="宋体"/>
                <w:color w:val="auto"/>
                <w:sz w:val="24"/>
                <w:szCs w:val="24"/>
                <w:highlight w:val="none"/>
              </w:rPr>
            </w:pPr>
          </w:p>
        </w:tc>
      </w:tr>
      <w:tr w14:paraId="23C1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14:paraId="05D1DDF1">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14:paraId="5F3C0C0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14:paraId="1DA5C867">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7C05CDD0">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14:paraId="05B59FD3">
            <w:pPr>
              <w:pStyle w:val="187"/>
              <w:numPr>
                <w:ilvl w:val="0"/>
                <w:numId w:val="9"/>
              </w:numPr>
              <w:spacing w:line="400" w:lineRule="exact"/>
              <w:ind w:firstLineChars="0"/>
              <w:rPr>
                <w:rFonts w:ascii="宋体" w:hAnsi="宋体" w:cs="宋体"/>
                <w:color w:val="auto"/>
                <w:sz w:val="24"/>
                <w:szCs w:val="24"/>
                <w:highlight w:val="none"/>
              </w:rPr>
            </w:pPr>
          </w:p>
        </w:tc>
      </w:tr>
      <w:tr w14:paraId="2346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14:paraId="402F31DA">
            <w:pPr>
              <w:pStyle w:val="187"/>
              <w:numPr>
                <w:ilvl w:val="0"/>
                <w:numId w:val="9"/>
              </w:numPr>
              <w:spacing w:line="400" w:lineRule="exact"/>
              <w:ind w:firstLineChars="0"/>
              <w:rPr>
                <w:rFonts w:ascii="宋体" w:hAnsi="宋体" w:cs="宋体"/>
                <w:color w:val="auto"/>
                <w:sz w:val="24"/>
                <w:szCs w:val="24"/>
                <w:highlight w:val="none"/>
              </w:rPr>
            </w:pPr>
          </w:p>
        </w:tc>
        <w:tc>
          <w:tcPr>
            <w:tcW w:w="1053" w:type="dxa"/>
            <w:vAlign w:val="center"/>
          </w:tcPr>
          <w:p w14:paraId="6D984FEF">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14:paraId="073F7891">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29010627">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14:paraId="2755D7D7">
            <w:pPr>
              <w:pStyle w:val="187"/>
              <w:numPr>
                <w:ilvl w:val="0"/>
                <w:numId w:val="9"/>
              </w:numPr>
              <w:spacing w:line="400" w:lineRule="exact"/>
              <w:ind w:firstLineChars="0"/>
              <w:rPr>
                <w:rFonts w:ascii="宋体" w:hAnsi="宋体" w:cs="宋体"/>
                <w:color w:val="auto"/>
                <w:sz w:val="24"/>
                <w:szCs w:val="24"/>
                <w:highlight w:val="none"/>
              </w:rPr>
            </w:pPr>
          </w:p>
        </w:tc>
      </w:tr>
      <w:tr w14:paraId="2F0DD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5625D25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14:paraId="0404058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29554B1D">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482F520E">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5A6BB79B">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716F8AF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5F327DB8">
            <w:pPr>
              <w:pStyle w:val="187"/>
              <w:numPr>
                <w:ilvl w:val="0"/>
                <w:numId w:val="9"/>
              </w:numPr>
              <w:spacing w:line="400" w:lineRule="exact"/>
              <w:ind w:firstLineChars="0"/>
              <w:rPr>
                <w:rFonts w:ascii="宋体" w:hAnsi="宋体" w:cs="宋体"/>
                <w:color w:val="auto"/>
                <w:sz w:val="24"/>
                <w:szCs w:val="24"/>
                <w:highlight w:val="none"/>
              </w:rPr>
            </w:pPr>
          </w:p>
        </w:tc>
      </w:tr>
      <w:tr w14:paraId="11A0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40D6EBBB">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14:paraId="101E2DD8">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70D160D4">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2B7C890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63A257B7">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660BF6D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7408D357">
            <w:pPr>
              <w:pStyle w:val="187"/>
              <w:numPr>
                <w:ilvl w:val="0"/>
                <w:numId w:val="9"/>
              </w:numPr>
              <w:spacing w:line="400" w:lineRule="exact"/>
              <w:ind w:firstLineChars="0"/>
              <w:rPr>
                <w:rFonts w:ascii="宋体" w:hAnsi="宋体" w:cs="宋体"/>
                <w:color w:val="auto"/>
                <w:sz w:val="24"/>
                <w:szCs w:val="24"/>
                <w:highlight w:val="none"/>
              </w:rPr>
            </w:pPr>
          </w:p>
        </w:tc>
      </w:tr>
      <w:tr w14:paraId="57A4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5D949C65">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14:paraId="2940B38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3234C811">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2DEC1596">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5504D410">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354848F9">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31244629">
            <w:pPr>
              <w:pStyle w:val="187"/>
              <w:numPr>
                <w:ilvl w:val="0"/>
                <w:numId w:val="9"/>
              </w:numPr>
              <w:spacing w:line="400" w:lineRule="exact"/>
              <w:ind w:firstLineChars="0"/>
              <w:rPr>
                <w:rFonts w:ascii="宋体" w:hAnsi="宋体" w:cs="宋体"/>
                <w:color w:val="auto"/>
                <w:sz w:val="24"/>
                <w:szCs w:val="24"/>
                <w:highlight w:val="none"/>
              </w:rPr>
            </w:pPr>
          </w:p>
        </w:tc>
      </w:tr>
      <w:tr w14:paraId="699A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5640444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14:paraId="7A87763C">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39CFC8F8">
            <w:pPr>
              <w:pStyle w:val="187"/>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14:paraId="735D9E98">
            <w:pPr>
              <w:pStyle w:val="187"/>
              <w:numPr>
                <w:ilvl w:val="0"/>
                <w:numId w:val="9"/>
              </w:numPr>
              <w:spacing w:line="400" w:lineRule="exact"/>
              <w:ind w:firstLineChars="0"/>
              <w:rPr>
                <w:rFonts w:ascii="宋体" w:hAnsi="宋体" w:cs="宋体"/>
                <w:color w:val="auto"/>
                <w:sz w:val="24"/>
                <w:szCs w:val="24"/>
                <w:highlight w:val="none"/>
              </w:rPr>
            </w:pPr>
          </w:p>
        </w:tc>
      </w:tr>
      <w:tr w14:paraId="4185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14:paraId="57AB5DF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14:paraId="64418B2C">
            <w:pPr>
              <w:pStyle w:val="187"/>
              <w:numPr>
                <w:ilvl w:val="0"/>
                <w:numId w:val="9"/>
              </w:numPr>
              <w:spacing w:line="400" w:lineRule="exact"/>
              <w:ind w:firstLineChars="0"/>
              <w:rPr>
                <w:rFonts w:ascii="宋体" w:hAnsi="宋体" w:cs="宋体"/>
                <w:color w:val="auto"/>
                <w:sz w:val="24"/>
                <w:szCs w:val="24"/>
                <w:highlight w:val="none"/>
              </w:rPr>
            </w:pPr>
          </w:p>
        </w:tc>
      </w:tr>
      <w:tr w14:paraId="3FA2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14:paraId="29AF1FE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14:paraId="3E686718">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4647CCB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14:paraId="4B84C5B8">
            <w:pPr>
              <w:pStyle w:val="187"/>
              <w:numPr>
                <w:ilvl w:val="0"/>
                <w:numId w:val="9"/>
              </w:numPr>
              <w:spacing w:line="400" w:lineRule="exact"/>
              <w:ind w:firstLineChars="0"/>
              <w:rPr>
                <w:rFonts w:ascii="宋体" w:hAnsi="宋体" w:cs="宋体"/>
                <w:color w:val="auto"/>
                <w:sz w:val="24"/>
                <w:szCs w:val="24"/>
                <w:highlight w:val="none"/>
              </w:rPr>
            </w:pPr>
          </w:p>
        </w:tc>
      </w:tr>
      <w:tr w14:paraId="00F0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4576C9C5">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14:paraId="79276F6B">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78EA4870">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14:paraId="4EE9F888">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3CBC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2088149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14:paraId="1F8B6EA1">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431FE02E">
            <w:pPr>
              <w:pStyle w:val="187"/>
              <w:numPr>
                <w:ilvl w:val="0"/>
                <w:numId w:val="9"/>
              </w:numPr>
              <w:spacing w:line="400" w:lineRule="exact"/>
              <w:ind w:firstLineChars="0"/>
              <w:rPr>
                <w:rFonts w:ascii="宋体" w:hAnsi="宋体" w:cs="宋体"/>
                <w:color w:val="auto"/>
                <w:sz w:val="24"/>
                <w:szCs w:val="24"/>
                <w:highlight w:val="none"/>
              </w:rPr>
            </w:pPr>
          </w:p>
        </w:tc>
        <w:tc>
          <w:tcPr>
            <w:tcW w:w="2165" w:type="dxa"/>
            <w:gridSpan w:val="2"/>
            <w:vAlign w:val="center"/>
          </w:tcPr>
          <w:p w14:paraId="38E8240F">
            <w:pPr>
              <w:pStyle w:val="187"/>
              <w:numPr>
                <w:ilvl w:val="0"/>
                <w:numId w:val="9"/>
              </w:numPr>
              <w:spacing w:line="400" w:lineRule="exact"/>
              <w:ind w:firstLineChars="0"/>
              <w:rPr>
                <w:rFonts w:ascii="宋体" w:hAnsi="宋体" w:cs="宋体"/>
                <w:color w:val="auto"/>
                <w:sz w:val="24"/>
                <w:szCs w:val="24"/>
                <w:highlight w:val="none"/>
              </w:rPr>
            </w:pPr>
          </w:p>
        </w:tc>
      </w:tr>
      <w:tr w14:paraId="093C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180E797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14:paraId="7E573833">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7313F888">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14:paraId="60326AEC">
            <w:pPr>
              <w:pStyle w:val="187"/>
              <w:numPr>
                <w:ilvl w:val="0"/>
                <w:numId w:val="9"/>
              </w:numPr>
              <w:spacing w:line="400" w:lineRule="exact"/>
              <w:ind w:firstLineChars="0"/>
              <w:rPr>
                <w:rFonts w:ascii="宋体" w:hAnsi="宋体" w:cs="宋体"/>
                <w:color w:val="auto"/>
                <w:sz w:val="24"/>
                <w:szCs w:val="24"/>
                <w:highlight w:val="none"/>
              </w:rPr>
            </w:pPr>
          </w:p>
        </w:tc>
      </w:tr>
      <w:tr w14:paraId="1998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14:paraId="7ABC01A8">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14:paraId="0C653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14:paraId="0A1EC704">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14:paraId="59C59801">
            <w:pPr>
              <w:pStyle w:val="187"/>
              <w:numPr>
                <w:ilvl w:val="0"/>
                <w:numId w:val="9"/>
              </w:numPr>
              <w:spacing w:line="400" w:lineRule="exact"/>
              <w:ind w:firstLineChars="0"/>
              <w:rPr>
                <w:rFonts w:ascii="宋体" w:hAnsi="宋体" w:cs="宋体"/>
                <w:color w:val="auto"/>
                <w:sz w:val="24"/>
                <w:szCs w:val="24"/>
                <w:highlight w:val="none"/>
              </w:rPr>
            </w:pPr>
          </w:p>
        </w:tc>
      </w:tr>
      <w:tr w14:paraId="3626F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21FBF6A2">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14:paraId="5A317373">
            <w:pPr>
              <w:pStyle w:val="187"/>
              <w:numPr>
                <w:ilvl w:val="0"/>
                <w:numId w:val="9"/>
              </w:numPr>
              <w:spacing w:line="400" w:lineRule="exact"/>
              <w:ind w:firstLineChars="0"/>
              <w:rPr>
                <w:rFonts w:ascii="宋体" w:hAnsi="宋体" w:cs="宋体"/>
                <w:color w:val="auto"/>
                <w:sz w:val="24"/>
                <w:szCs w:val="24"/>
                <w:highlight w:val="none"/>
              </w:rPr>
            </w:pPr>
          </w:p>
        </w:tc>
      </w:tr>
      <w:tr w14:paraId="1117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0F06A740">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14:paraId="0D4AFEA5">
            <w:pPr>
              <w:pStyle w:val="187"/>
              <w:numPr>
                <w:ilvl w:val="0"/>
                <w:numId w:val="9"/>
              </w:numPr>
              <w:spacing w:line="400" w:lineRule="exact"/>
              <w:ind w:firstLineChars="0"/>
              <w:rPr>
                <w:rFonts w:ascii="宋体" w:hAnsi="宋体" w:cs="宋体"/>
                <w:color w:val="auto"/>
                <w:sz w:val="24"/>
                <w:szCs w:val="24"/>
                <w:highlight w:val="none"/>
              </w:rPr>
            </w:pPr>
          </w:p>
        </w:tc>
      </w:tr>
    </w:tbl>
    <w:p w14:paraId="579B06E7">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14:paraId="7164A05C">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3C68DE76">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1E2B2438">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78193987">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7AC0F14A">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14:paraId="56F5B0D2">
      <w:pPr>
        <w:adjustRightInd w:val="0"/>
        <w:snapToGrid w:val="0"/>
        <w:spacing w:line="4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应提供本单位2025年度经会计师事务所出具的审计报告复印件，（报告中须包括资产负债表、利润表、现金流量表及财务报表附注，如供应商注册不满1年无需提供上述资料；）</w:t>
      </w:r>
    </w:p>
    <w:p w14:paraId="2A8D5BC1">
      <w:pPr>
        <w:pStyle w:val="38"/>
        <w:rPr>
          <w:color w:val="auto"/>
          <w:highlight w:val="none"/>
        </w:rPr>
      </w:pPr>
    </w:p>
    <w:p w14:paraId="0C05D16F">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6404C64">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14:paraId="7BBF7396">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14:paraId="7AC24AD5">
      <w:pPr>
        <w:pStyle w:val="200"/>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14:paraId="0ABDCBA3">
      <w:pPr>
        <w:pStyle w:val="200"/>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14:paraId="2E39E23D">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14:paraId="7DA91692">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14:paraId="5AD3EC21">
      <w:pPr>
        <w:pStyle w:val="200"/>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14:paraId="0F168908">
      <w:pPr>
        <w:adjustRightInd w:val="0"/>
        <w:snapToGrid w:val="0"/>
        <w:spacing w:line="400" w:lineRule="exact"/>
        <w:jc w:val="left"/>
        <w:rPr>
          <w:rFonts w:ascii="宋体" w:hAnsi="宋体" w:cs="宋体"/>
          <w:b/>
          <w:color w:val="auto"/>
          <w:sz w:val="24"/>
          <w:szCs w:val="24"/>
          <w:highlight w:val="none"/>
        </w:rPr>
      </w:pPr>
    </w:p>
    <w:p w14:paraId="6E939F9E">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305F5494">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7、依法缴纳税收和社会保障资金的良好记录</w:t>
      </w:r>
    </w:p>
    <w:p w14:paraId="543C860F">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14:paraId="30EFD48D">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投标人依法缴纳社会保障资金的证明材料：本项目开标前 6个月内（至少提供1个月）缴纳社会保险的凭据（专用收据或社会保险交纳清单）； </w:t>
      </w:r>
    </w:p>
    <w:p w14:paraId="7BB9FCA9">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14:paraId="291EDEA0">
      <w:pPr>
        <w:pStyle w:val="30"/>
        <w:rPr>
          <w:color w:val="auto"/>
          <w:highlight w:val="none"/>
        </w:rPr>
      </w:pPr>
    </w:p>
    <w:p w14:paraId="204F6416">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20BF702B">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8、前三年内在经营活动中没有重大违法记录的书面声明：</w:t>
      </w:r>
    </w:p>
    <w:p w14:paraId="6B3EE2BB">
      <w:pPr>
        <w:pStyle w:val="200"/>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14:paraId="668D1A37">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14:paraId="4E339A9A">
      <w:pPr>
        <w:pStyle w:val="200"/>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14:paraId="2CBEF1FE">
      <w:pPr>
        <w:pStyle w:val="200"/>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14:paraId="34567444">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73B72A1E">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14:paraId="54D7C3CC">
      <w:pPr>
        <w:adjustRightInd w:val="0"/>
        <w:snapToGrid w:val="0"/>
        <w:spacing w:line="400" w:lineRule="exact"/>
        <w:jc w:val="left"/>
        <w:rPr>
          <w:rFonts w:ascii="宋体" w:hAnsi="宋体" w:cs="宋体"/>
          <w:b/>
          <w:color w:val="auto"/>
          <w:sz w:val="24"/>
          <w:szCs w:val="24"/>
          <w:highlight w:val="none"/>
        </w:rPr>
      </w:pPr>
    </w:p>
    <w:p w14:paraId="747F4F89">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31B2039">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失信主体、政府采购严重违法失信行为记录名单及及其他不符合规定条件的投标人；投标人未被列入“信用中国”网站(www.creditchina.gov.cn)“记录失信被执行人或重大税收违法案件当事人名单或政府采购严重违法失信行为”记录名单；未处于中国政府采购网(www.ccgp.gov.cn)“政府采购严重违法失信行为信息记录”中的禁止参加政府采购活动 期间（以采购代理机构于开标当天在“信用中国”网站（www.creditchina.gov.cn）及中国政府采购网(www.ccgp.gov.cn)查询结果为准，如相关失信记录已失效，投标人需提供相关证明资料）。</w:t>
      </w:r>
    </w:p>
    <w:p w14:paraId="52B00272">
      <w:pPr>
        <w:adjustRightInd w:val="0"/>
        <w:snapToGrid w:val="0"/>
        <w:spacing w:line="400" w:lineRule="exact"/>
        <w:jc w:val="left"/>
        <w:rPr>
          <w:rFonts w:ascii="宋体" w:hAnsi="宋体" w:cs="宋体"/>
          <w:b/>
          <w:color w:val="auto"/>
          <w:sz w:val="24"/>
          <w:szCs w:val="24"/>
          <w:highlight w:val="none"/>
        </w:rPr>
      </w:pPr>
    </w:p>
    <w:p w14:paraId="455AC427">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623E5DB">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10、投标人已取得的各种有效认证证书、政府部门（企业）或第三方权威鉴定机构出具的信用等级证书或证明复印件 (如有)。</w:t>
      </w:r>
    </w:p>
    <w:p w14:paraId="6A35ECA8">
      <w:pPr>
        <w:adjustRightInd w:val="0"/>
        <w:snapToGrid w:val="0"/>
        <w:spacing w:line="400" w:lineRule="exact"/>
        <w:jc w:val="left"/>
        <w:rPr>
          <w:rFonts w:ascii="宋体" w:hAnsi="宋体" w:cs="宋体"/>
          <w:b/>
          <w:color w:val="auto"/>
          <w:sz w:val="24"/>
          <w:szCs w:val="24"/>
          <w:highlight w:val="none"/>
        </w:rPr>
      </w:pPr>
    </w:p>
    <w:p w14:paraId="31C4CAAA">
      <w:pPr>
        <w:widowControl/>
        <w:snapToGrid w:val="0"/>
        <w:spacing w:line="400" w:lineRule="exact"/>
        <w:jc w:val="left"/>
        <w:rPr>
          <w:rFonts w:ascii="宋体" w:hAnsi="宋体" w:cs="宋体"/>
          <w:b/>
          <w:bCs/>
          <w:color w:val="auto"/>
          <w:sz w:val="24"/>
          <w:szCs w:val="24"/>
          <w:highlight w:val="none"/>
        </w:rPr>
      </w:pPr>
    </w:p>
    <w:p w14:paraId="659FA93B">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392C3598">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11、</w:t>
      </w:r>
      <w:r>
        <w:rPr>
          <w:rFonts w:hint="eastAsia" w:ascii="宋体" w:hAnsi="宋体" w:cs="宋体"/>
          <w:b/>
          <w:color w:val="auto"/>
          <w:sz w:val="24"/>
          <w:szCs w:val="24"/>
          <w:highlight w:val="none"/>
        </w:rPr>
        <w:t>2023年1月1日以</w:t>
      </w:r>
      <w:r>
        <w:rPr>
          <w:rFonts w:hint="eastAsia" w:ascii="宋体" w:hAnsi="宋体" w:cs="宋体"/>
          <w:b/>
          <w:color w:val="auto"/>
          <w:sz w:val="24"/>
          <w:szCs w:val="24"/>
          <w:highlight w:val="none"/>
        </w:rPr>
        <w:t>来同类业绩</w:t>
      </w:r>
    </w:p>
    <w:p w14:paraId="7010D70A">
      <w:pPr>
        <w:adjustRightInd w:val="0"/>
        <w:snapToGrid w:val="0"/>
        <w:spacing w:line="400" w:lineRule="exact"/>
        <w:ind w:firstLine="470" w:firstLineChars="196"/>
        <w:jc w:val="left"/>
        <w:rPr>
          <w:rFonts w:ascii="宋体" w:hAnsi="宋体" w:cs="宋体"/>
          <w:color w:val="auto"/>
          <w:sz w:val="24"/>
          <w:szCs w:val="24"/>
          <w:highlight w:val="none"/>
        </w:rPr>
      </w:pPr>
      <w:r>
        <w:rPr>
          <w:rFonts w:hint="eastAsia" w:ascii="宋体" w:hAnsi="宋体" w:cs="宋体"/>
          <w:color w:val="auto"/>
          <w:sz w:val="24"/>
          <w:szCs w:val="24"/>
          <w:highlight w:val="none"/>
        </w:rPr>
        <w:t>以签订合同时间为准，需提供中标（成交）通知书、与最终用户合同复印件，复印件并加盖公章，如出现与事实不符等情况，将根据有关规定以“提供虚假材料谋取中标”予以处罚。</w:t>
      </w:r>
    </w:p>
    <w:p w14:paraId="51169E22">
      <w:pPr>
        <w:pStyle w:val="30"/>
        <w:rPr>
          <w:rFonts w:ascii="宋体" w:hAnsi="宋体" w:cs="宋体"/>
          <w:b/>
          <w:bCs/>
          <w:color w:val="auto"/>
          <w:sz w:val="24"/>
          <w:szCs w:val="24"/>
          <w:highlight w:val="none"/>
        </w:rPr>
      </w:pPr>
    </w:p>
    <w:p w14:paraId="6BBD4FCC">
      <w:pPr>
        <w:pStyle w:val="30"/>
        <w:rPr>
          <w:rFonts w:ascii="宋体" w:hAnsi="宋体" w:cs="宋体"/>
          <w:b/>
          <w:bCs/>
          <w:color w:val="auto"/>
          <w:sz w:val="24"/>
          <w:szCs w:val="24"/>
          <w:highlight w:val="none"/>
        </w:rPr>
      </w:pPr>
    </w:p>
    <w:p w14:paraId="58AB2FF5">
      <w:pPr>
        <w:pStyle w:val="30"/>
        <w:rPr>
          <w:rFonts w:ascii="宋体" w:hAnsi="宋体" w:cs="宋体"/>
          <w:b/>
          <w:bCs/>
          <w:color w:val="auto"/>
          <w:sz w:val="24"/>
          <w:szCs w:val="24"/>
          <w:highlight w:val="none"/>
        </w:rPr>
      </w:pPr>
    </w:p>
    <w:p w14:paraId="3A5BA4BE">
      <w:pPr>
        <w:pStyle w:val="30"/>
        <w:rPr>
          <w:rFonts w:ascii="宋体" w:hAnsi="宋体" w:cs="宋体"/>
          <w:b/>
          <w:bCs/>
          <w:color w:val="auto"/>
          <w:sz w:val="24"/>
          <w:szCs w:val="24"/>
          <w:highlight w:val="none"/>
        </w:rPr>
      </w:pPr>
    </w:p>
    <w:p w14:paraId="68CBE596">
      <w:pPr>
        <w:pStyle w:val="30"/>
        <w:rPr>
          <w:rFonts w:ascii="宋体" w:hAnsi="宋体" w:cs="宋体"/>
          <w:b/>
          <w:bCs/>
          <w:color w:val="auto"/>
          <w:sz w:val="24"/>
          <w:szCs w:val="24"/>
          <w:highlight w:val="none"/>
        </w:rPr>
      </w:pPr>
    </w:p>
    <w:p w14:paraId="7133A027">
      <w:pPr>
        <w:pStyle w:val="30"/>
        <w:rPr>
          <w:rFonts w:ascii="宋体" w:hAnsi="宋体" w:cs="宋体"/>
          <w:b/>
          <w:bCs/>
          <w:color w:val="auto"/>
          <w:sz w:val="24"/>
          <w:szCs w:val="24"/>
          <w:highlight w:val="none"/>
        </w:rPr>
      </w:pPr>
    </w:p>
    <w:p w14:paraId="6493F140">
      <w:pPr>
        <w:pStyle w:val="30"/>
        <w:rPr>
          <w:rFonts w:ascii="宋体" w:hAnsi="宋体" w:cs="宋体"/>
          <w:b/>
          <w:bCs/>
          <w:color w:val="auto"/>
          <w:sz w:val="24"/>
          <w:szCs w:val="24"/>
          <w:highlight w:val="none"/>
        </w:rPr>
      </w:pPr>
    </w:p>
    <w:p w14:paraId="1A9B1279">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4A2066DA">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12、政府采购政策扶持证明材料</w:t>
      </w:r>
    </w:p>
    <w:p w14:paraId="58168A31">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14:paraId="73C06133">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 xml:space="preserve">   （单位名称）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14:paraId="365DD4D8">
      <w:pPr>
        <w:widowControl/>
        <w:numPr>
          <w:ilvl w:val="0"/>
          <w:numId w:val="10"/>
        </w:numPr>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纳米粒度及电位分析仪（标的名称）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48BB2AED">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 xml:space="preserve">  （标的名称）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4F6A9260">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467E4344">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74E77219">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14:paraId="6E112696">
      <w:pPr>
        <w:widowControl/>
        <w:snapToGrid w:val="0"/>
        <w:spacing w:before="75" w:after="75" w:line="400" w:lineRule="exact"/>
        <w:ind w:firstLine="480" w:firstLineChars="200"/>
        <w:rPr>
          <w:rFonts w:ascii="宋体" w:hAnsi="宋体" w:cs="宋体"/>
          <w:color w:val="auto"/>
          <w:kern w:val="0"/>
          <w:sz w:val="24"/>
          <w:szCs w:val="24"/>
          <w:highlight w:val="none"/>
        </w:rPr>
      </w:pPr>
    </w:p>
    <w:p w14:paraId="23022BED">
      <w:pPr>
        <w:widowControl/>
        <w:snapToGrid w:val="0"/>
        <w:spacing w:before="75" w:after="75" w:line="400" w:lineRule="exact"/>
        <w:ind w:firstLine="480" w:firstLineChars="200"/>
        <w:rPr>
          <w:rFonts w:ascii="宋体" w:hAnsi="宋体" w:cs="宋体"/>
          <w:color w:val="auto"/>
          <w:kern w:val="0"/>
          <w:sz w:val="24"/>
          <w:szCs w:val="24"/>
          <w:highlight w:val="none"/>
        </w:rPr>
      </w:pPr>
    </w:p>
    <w:p w14:paraId="255BD813">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14:paraId="4F7D147D">
      <w:pPr>
        <w:pStyle w:val="22"/>
        <w:snapToGrid w:val="0"/>
        <w:spacing w:before="156" w:after="156"/>
        <w:ind w:firstLine="4920" w:firstLineChars="2050"/>
        <w:rPr>
          <w:rFonts w:hAnsi="宋体" w:cs="宋体"/>
          <w:color w:val="auto"/>
          <w:kern w:val="0"/>
          <w:sz w:val="24"/>
          <w:szCs w:val="24"/>
          <w:highlight w:val="none"/>
        </w:rPr>
      </w:pPr>
      <w:r>
        <w:rPr>
          <w:rFonts w:hint="eastAsia" w:hAnsi="宋体" w:cs="宋体"/>
          <w:color w:val="auto"/>
          <w:kern w:val="0"/>
          <w:sz w:val="24"/>
          <w:szCs w:val="24"/>
          <w:highlight w:val="none"/>
        </w:rPr>
        <w:t>日期：</w:t>
      </w:r>
    </w:p>
    <w:p w14:paraId="0C87D31C">
      <w:pPr>
        <w:snapToGrid w:val="0"/>
        <w:spacing w:line="400" w:lineRule="exact"/>
        <w:ind w:firstLine="480" w:firstLineChars="200"/>
        <w:rPr>
          <w:rFonts w:ascii="宋体" w:hAnsi="宋体" w:cs="宋体"/>
          <w:color w:val="auto"/>
          <w:sz w:val="24"/>
          <w:highlight w:val="none"/>
        </w:rPr>
      </w:pPr>
    </w:p>
    <w:p w14:paraId="51BA8887">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14:paraId="7C147516">
      <w:pPr>
        <w:pStyle w:val="56"/>
        <w:rPr>
          <w:rFonts w:hAnsi="宋体" w:cs="宋体"/>
          <w:color w:val="auto"/>
          <w:highlight w:val="none"/>
        </w:rPr>
      </w:pPr>
    </w:p>
    <w:p w14:paraId="37DCC939">
      <w:pPr>
        <w:pStyle w:val="56"/>
        <w:rPr>
          <w:rFonts w:hAnsi="宋体" w:cs="宋体"/>
          <w:color w:val="auto"/>
          <w:highlight w:val="none"/>
        </w:rPr>
      </w:pPr>
    </w:p>
    <w:p w14:paraId="2C206FD7">
      <w:pPr>
        <w:pStyle w:val="56"/>
        <w:rPr>
          <w:rFonts w:hAnsi="宋体" w:cs="宋体"/>
          <w:color w:val="auto"/>
          <w:highlight w:val="none"/>
        </w:rPr>
      </w:pPr>
    </w:p>
    <w:p w14:paraId="736F66AA">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13C2869D">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14:paraId="28B2FC72">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14:paraId="758B58DC">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14:paraId="7DDCD9A4">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14:paraId="1C96742C">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14:paraId="52F37EBF">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14:paraId="62523928">
      <w:pPr>
        <w:snapToGrid w:val="0"/>
        <w:spacing w:line="400" w:lineRule="exact"/>
        <w:ind w:firstLine="4860" w:firstLineChars="2025"/>
        <w:rPr>
          <w:rFonts w:ascii="宋体" w:hAnsi="宋体" w:cs="宋体"/>
          <w:color w:val="auto"/>
          <w:sz w:val="24"/>
          <w:highlight w:val="none"/>
        </w:rPr>
      </w:pPr>
    </w:p>
    <w:p w14:paraId="07679039">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2B148245">
      <w:pPr>
        <w:pStyle w:val="22"/>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14:paraId="4CD6674F">
      <w:pPr>
        <w:pStyle w:val="22"/>
        <w:snapToGrid w:val="0"/>
        <w:spacing w:before="156" w:after="156"/>
        <w:ind w:firstLine="562" w:firstLineChars="200"/>
        <w:jc w:val="left"/>
        <w:rPr>
          <w:rFonts w:hAnsi="宋体" w:cs="宋体"/>
          <w:b/>
          <w:color w:val="auto"/>
          <w:sz w:val="28"/>
          <w:szCs w:val="28"/>
          <w:highlight w:val="none"/>
          <w:lang w:val="zh-CN"/>
        </w:rPr>
      </w:pPr>
    </w:p>
    <w:p w14:paraId="58461E29">
      <w:pPr>
        <w:pStyle w:val="22"/>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14:paraId="14FFEA48">
      <w:pPr>
        <w:pStyle w:val="22"/>
        <w:snapToGrid w:val="0"/>
        <w:spacing w:before="156" w:after="156"/>
        <w:ind w:firstLine="422" w:firstLineChars="200"/>
        <w:jc w:val="center"/>
        <w:rPr>
          <w:rFonts w:hAnsi="宋体" w:cs="宋体"/>
          <w:b/>
          <w:color w:val="auto"/>
          <w:highlight w:val="none"/>
          <w:lang w:val="zh-CN"/>
        </w:rPr>
      </w:pPr>
    </w:p>
    <w:p w14:paraId="38CB8866">
      <w:pPr>
        <w:pStyle w:val="22"/>
        <w:snapToGrid w:val="0"/>
        <w:spacing w:before="156" w:after="156"/>
        <w:ind w:firstLine="562" w:firstLineChars="200"/>
        <w:jc w:val="center"/>
        <w:rPr>
          <w:rFonts w:hAnsi="宋体" w:cs="宋体"/>
          <w:b/>
          <w:color w:val="auto"/>
          <w:sz w:val="28"/>
          <w:szCs w:val="28"/>
          <w:highlight w:val="none"/>
          <w:lang w:val="zh-CN"/>
        </w:rPr>
      </w:pPr>
    </w:p>
    <w:p w14:paraId="733C8C64">
      <w:pPr>
        <w:pStyle w:val="22"/>
        <w:snapToGrid w:val="0"/>
        <w:spacing w:before="156" w:after="156"/>
        <w:ind w:firstLine="562" w:firstLineChars="200"/>
        <w:jc w:val="center"/>
        <w:rPr>
          <w:rFonts w:hAnsi="宋体" w:cs="宋体"/>
          <w:b/>
          <w:color w:val="auto"/>
          <w:sz w:val="28"/>
          <w:szCs w:val="28"/>
          <w:highlight w:val="none"/>
          <w:lang w:val="zh-CN"/>
        </w:rPr>
      </w:pPr>
    </w:p>
    <w:p w14:paraId="74E2C246">
      <w:pPr>
        <w:pStyle w:val="22"/>
        <w:snapToGrid w:val="0"/>
        <w:spacing w:before="156" w:after="156"/>
        <w:ind w:firstLine="562" w:firstLineChars="200"/>
        <w:jc w:val="center"/>
        <w:rPr>
          <w:rFonts w:hAnsi="宋体" w:cs="宋体"/>
          <w:b/>
          <w:color w:val="auto"/>
          <w:sz w:val="28"/>
          <w:szCs w:val="28"/>
          <w:highlight w:val="none"/>
          <w:lang w:val="zh-CN"/>
        </w:rPr>
      </w:pPr>
    </w:p>
    <w:p w14:paraId="3A43F1A3">
      <w:pPr>
        <w:pStyle w:val="22"/>
        <w:snapToGrid w:val="0"/>
        <w:spacing w:before="156" w:after="156"/>
        <w:ind w:firstLine="562" w:firstLineChars="200"/>
        <w:jc w:val="center"/>
        <w:rPr>
          <w:rFonts w:hAnsi="宋体" w:cs="宋体"/>
          <w:b/>
          <w:color w:val="auto"/>
          <w:sz w:val="28"/>
          <w:szCs w:val="28"/>
          <w:highlight w:val="none"/>
          <w:lang w:val="zh-CN"/>
        </w:rPr>
      </w:pPr>
    </w:p>
    <w:p w14:paraId="5B99DDF1">
      <w:pPr>
        <w:pStyle w:val="22"/>
        <w:snapToGrid w:val="0"/>
        <w:spacing w:before="156" w:after="156"/>
        <w:ind w:firstLine="562" w:firstLineChars="200"/>
        <w:jc w:val="center"/>
        <w:rPr>
          <w:rFonts w:hAnsi="宋体" w:cs="宋体"/>
          <w:b/>
          <w:color w:val="auto"/>
          <w:sz w:val="28"/>
          <w:szCs w:val="28"/>
          <w:highlight w:val="none"/>
          <w:lang w:val="zh-CN"/>
        </w:rPr>
      </w:pPr>
    </w:p>
    <w:p w14:paraId="38E45DB0">
      <w:pPr>
        <w:pStyle w:val="22"/>
        <w:snapToGrid w:val="0"/>
        <w:spacing w:before="156" w:after="156"/>
        <w:ind w:firstLine="562" w:firstLineChars="200"/>
        <w:jc w:val="center"/>
        <w:rPr>
          <w:rFonts w:hAnsi="宋体" w:cs="宋体"/>
          <w:b/>
          <w:color w:val="auto"/>
          <w:sz w:val="28"/>
          <w:szCs w:val="28"/>
          <w:highlight w:val="none"/>
          <w:lang w:val="zh-CN"/>
        </w:rPr>
      </w:pPr>
    </w:p>
    <w:p w14:paraId="2BEAFB6F">
      <w:pPr>
        <w:pStyle w:val="22"/>
        <w:snapToGrid w:val="0"/>
        <w:spacing w:before="156" w:after="156"/>
        <w:ind w:firstLine="562" w:firstLineChars="200"/>
        <w:jc w:val="center"/>
        <w:rPr>
          <w:rFonts w:hAnsi="宋体" w:cs="宋体"/>
          <w:b/>
          <w:color w:val="auto"/>
          <w:sz w:val="28"/>
          <w:szCs w:val="28"/>
          <w:highlight w:val="none"/>
          <w:lang w:val="zh-CN"/>
        </w:rPr>
      </w:pPr>
    </w:p>
    <w:p w14:paraId="70BCAAA3">
      <w:pPr>
        <w:pStyle w:val="22"/>
        <w:snapToGrid w:val="0"/>
        <w:spacing w:before="156" w:after="156"/>
        <w:ind w:firstLine="562" w:firstLineChars="200"/>
        <w:jc w:val="center"/>
        <w:rPr>
          <w:rFonts w:hAnsi="宋体" w:cs="宋体"/>
          <w:b/>
          <w:color w:val="auto"/>
          <w:sz w:val="28"/>
          <w:szCs w:val="28"/>
          <w:highlight w:val="none"/>
          <w:lang w:val="zh-CN"/>
        </w:rPr>
      </w:pPr>
    </w:p>
    <w:p w14:paraId="10EB1CD7">
      <w:pPr>
        <w:pStyle w:val="22"/>
        <w:snapToGrid w:val="0"/>
        <w:spacing w:before="156" w:after="156"/>
        <w:ind w:firstLine="562" w:firstLineChars="200"/>
        <w:jc w:val="center"/>
        <w:rPr>
          <w:rFonts w:hAnsi="宋体" w:cs="宋体"/>
          <w:b/>
          <w:color w:val="auto"/>
          <w:sz w:val="28"/>
          <w:szCs w:val="28"/>
          <w:highlight w:val="none"/>
          <w:lang w:val="zh-CN"/>
        </w:rPr>
      </w:pPr>
    </w:p>
    <w:p w14:paraId="26BE0DB1">
      <w:pPr>
        <w:pStyle w:val="22"/>
        <w:snapToGrid w:val="0"/>
        <w:spacing w:before="156" w:after="156"/>
        <w:ind w:firstLine="562" w:firstLineChars="200"/>
        <w:jc w:val="left"/>
        <w:rPr>
          <w:rFonts w:hAnsi="宋体" w:cs="宋体"/>
          <w:b/>
          <w:color w:val="auto"/>
          <w:sz w:val="28"/>
          <w:szCs w:val="28"/>
          <w:highlight w:val="none"/>
          <w:lang w:val="zh-CN"/>
        </w:rPr>
      </w:pPr>
    </w:p>
    <w:p w14:paraId="642011DF">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50" w:name="OLE_LINK13"/>
      <w:bookmarkStart w:id="151" w:name="OLE_LINK14"/>
      <w:r>
        <w:rPr>
          <w:rFonts w:hint="eastAsia" w:ascii="宋体" w:hAnsi="宋体" w:cs="宋体"/>
          <w:b/>
          <w:color w:val="auto"/>
          <w:sz w:val="24"/>
          <w:szCs w:val="24"/>
          <w:highlight w:val="none"/>
        </w:rPr>
        <w:t>福利性单位声明函</w:t>
      </w:r>
    </w:p>
    <w:p w14:paraId="3D5A784C">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50"/>
      <w:bookmarkEnd w:id="151"/>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14:paraId="52C5BEBF">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3375A4">
      <w:pPr>
        <w:pStyle w:val="22"/>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14:paraId="5C34B64B">
      <w:pPr>
        <w:pStyle w:val="22"/>
        <w:snapToGrid w:val="0"/>
        <w:spacing w:before="156" w:after="156"/>
        <w:ind w:firstLine="444" w:firstLineChars="200"/>
        <w:jc w:val="center"/>
        <w:rPr>
          <w:rFonts w:hAnsi="宋体" w:cs="宋体"/>
          <w:color w:val="auto"/>
          <w:spacing w:val="6"/>
          <w:highlight w:val="none"/>
        </w:rPr>
      </w:pPr>
    </w:p>
    <w:p w14:paraId="6D425168">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2439EDC8">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5D63D3D1">
      <w:pPr>
        <w:pStyle w:val="202"/>
        <w:snapToGrid w:val="0"/>
        <w:spacing w:line="400" w:lineRule="exact"/>
        <w:ind w:right="17"/>
        <w:jc w:val="right"/>
        <w:rPr>
          <w:rFonts w:hAnsi="宋体" w:cs="宋体"/>
          <w:color w:val="auto"/>
          <w:highlight w:val="none"/>
        </w:rPr>
      </w:pPr>
    </w:p>
    <w:p w14:paraId="59C1E1AD">
      <w:pPr>
        <w:pStyle w:val="202"/>
        <w:snapToGrid w:val="0"/>
        <w:spacing w:line="400" w:lineRule="exact"/>
        <w:ind w:right="17"/>
        <w:jc w:val="right"/>
        <w:rPr>
          <w:rFonts w:hAnsi="宋体" w:cs="宋体"/>
          <w:color w:val="auto"/>
          <w:highlight w:val="none"/>
        </w:rPr>
      </w:pPr>
    </w:p>
    <w:p w14:paraId="7DFB8123">
      <w:pPr>
        <w:pStyle w:val="202"/>
        <w:snapToGrid w:val="0"/>
        <w:spacing w:line="400" w:lineRule="exact"/>
        <w:ind w:right="17"/>
        <w:jc w:val="right"/>
        <w:rPr>
          <w:rFonts w:hAnsi="宋体" w:cs="宋体"/>
          <w:color w:val="auto"/>
          <w:highlight w:val="none"/>
        </w:rPr>
      </w:pPr>
    </w:p>
    <w:p w14:paraId="34960D02">
      <w:pPr>
        <w:pStyle w:val="202"/>
        <w:snapToGrid w:val="0"/>
        <w:spacing w:line="400" w:lineRule="exact"/>
        <w:ind w:right="17"/>
        <w:jc w:val="right"/>
        <w:rPr>
          <w:rFonts w:hAnsi="宋体" w:cs="宋体"/>
          <w:color w:val="auto"/>
          <w:highlight w:val="none"/>
        </w:rPr>
      </w:pPr>
    </w:p>
    <w:p w14:paraId="7B7DD1C7">
      <w:pPr>
        <w:pStyle w:val="202"/>
        <w:snapToGrid w:val="0"/>
        <w:spacing w:line="400" w:lineRule="exact"/>
        <w:ind w:right="17"/>
        <w:jc w:val="right"/>
        <w:rPr>
          <w:rFonts w:hAnsi="宋体" w:cs="宋体"/>
          <w:color w:val="auto"/>
          <w:highlight w:val="none"/>
        </w:rPr>
      </w:pPr>
    </w:p>
    <w:p w14:paraId="24E5A725">
      <w:pPr>
        <w:pStyle w:val="202"/>
        <w:snapToGrid w:val="0"/>
        <w:spacing w:line="400" w:lineRule="exact"/>
        <w:ind w:right="17"/>
        <w:jc w:val="right"/>
        <w:rPr>
          <w:rFonts w:hAnsi="宋体" w:cs="宋体"/>
          <w:color w:val="auto"/>
          <w:highlight w:val="none"/>
        </w:rPr>
      </w:pPr>
    </w:p>
    <w:p w14:paraId="194A06FE">
      <w:pPr>
        <w:pStyle w:val="202"/>
        <w:snapToGrid w:val="0"/>
        <w:spacing w:line="400" w:lineRule="exact"/>
        <w:ind w:right="17"/>
        <w:jc w:val="right"/>
        <w:rPr>
          <w:rFonts w:hAnsi="宋体" w:cs="宋体"/>
          <w:color w:val="auto"/>
          <w:highlight w:val="none"/>
        </w:rPr>
      </w:pPr>
    </w:p>
    <w:p w14:paraId="47FAFBDD">
      <w:pPr>
        <w:pStyle w:val="202"/>
        <w:snapToGrid w:val="0"/>
        <w:spacing w:line="400" w:lineRule="exact"/>
        <w:ind w:right="17"/>
        <w:jc w:val="right"/>
        <w:rPr>
          <w:rFonts w:hAnsi="宋体" w:cs="宋体"/>
          <w:color w:val="auto"/>
          <w:highlight w:val="none"/>
        </w:rPr>
      </w:pPr>
    </w:p>
    <w:p w14:paraId="029D32F8">
      <w:pPr>
        <w:pStyle w:val="202"/>
        <w:snapToGrid w:val="0"/>
        <w:spacing w:line="400" w:lineRule="exact"/>
        <w:ind w:right="17"/>
        <w:jc w:val="right"/>
        <w:rPr>
          <w:rFonts w:hAnsi="宋体" w:cs="宋体"/>
          <w:color w:val="auto"/>
          <w:highlight w:val="none"/>
        </w:rPr>
      </w:pPr>
    </w:p>
    <w:p w14:paraId="63B8F3DD">
      <w:pPr>
        <w:pStyle w:val="202"/>
        <w:snapToGrid w:val="0"/>
        <w:spacing w:line="400" w:lineRule="exact"/>
        <w:ind w:right="17"/>
        <w:jc w:val="right"/>
        <w:rPr>
          <w:rFonts w:hAnsi="宋体" w:cs="宋体"/>
          <w:color w:val="auto"/>
          <w:highlight w:val="none"/>
        </w:rPr>
      </w:pPr>
    </w:p>
    <w:p w14:paraId="49703FBA">
      <w:pPr>
        <w:pStyle w:val="202"/>
        <w:snapToGrid w:val="0"/>
        <w:spacing w:line="400" w:lineRule="exact"/>
        <w:ind w:right="17"/>
        <w:jc w:val="right"/>
        <w:rPr>
          <w:rFonts w:hAnsi="宋体" w:cs="宋体"/>
          <w:color w:val="auto"/>
          <w:highlight w:val="none"/>
        </w:rPr>
      </w:pPr>
    </w:p>
    <w:p w14:paraId="72499643">
      <w:pPr>
        <w:pStyle w:val="202"/>
        <w:snapToGrid w:val="0"/>
        <w:spacing w:line="400" w:lineRule="exact"/>
        <w:ind w:right="17"/>
        <w:jc w:val="right"/>
        <w:rPr>
          <w:rFonts w:hAnsi="宋体" w:cs="宋体"/>
          <w:color w:val="auto"/>
          <w:highlight w:val="none"/>
        </w:rPr>
      </w:pPr>
    </w:p>
    <w:p w14:paraId="0C16846D">
      <w:pPr>
        <w:pStyle w:val="202"/>
        <w:snapToGrid w:val="0"/>
        <w:spacing w:line="400" w:lineRule="exact"/>
        <w:ind w:right="17"/>
        <w:jc w:val="right"/>
        <w:rPr>
          <w:rFonts w:hAnsi="宋体" w:cs="宋体"/>
          <w:color w:val="auto"/>
          <w:highlight w:val="none"/>
        </w:rPr>
      </w:pPr>
    </w:p>
    <w:p w14:paraId="56E2F548">
      <w:pPr>
        <w:pStyle w:val="202"/>
        <w:snapToGrid w:val="0"/>
        <w:spacing w:line="400" w:lineRule="exact"/>
        <w:ind w:right="17"/>
        <w:jc w:val="right"/>
        <w:rPr>
          <w:rFonts w:hAnsi="宋体" w:cs="宋体"/>
          <w:color w:val="auto"/>
          <w:highlight w:val="none"/>
        </w:rPr>
      </w:pPr>
    </w:p>
    <w:p w14:paraId="5BE8A106">
      <w:pPr>
        <w:pStyle w:val="202"/>
        <w:snapToGrid w:val="0"/>
        <w:spacing w:line="400" w:lineRule="exact"/>
        <w:ind w:right="17"/>
        <w:jc w:val="right"/>
        <w:rPr>
          <w:rFonts w:hAnsi="宋体" w:cs="宋体"/>
          <w:color w:val="auto"/>
          <w:highlight w:val="none"/>
        </w:rPr>
      </w:pPr>
    </w:p>
    <w:p w14:paraId="0676432B">
      <w:pPr>
        <w:pStyle w:val="202"/>
        <w:snapToGrid w:val="0"/>
        <w:spacing w:line="400" w:lineRule="exact"/>
        <w:ind w:right="17"/>
        <w:jc w:val="right"/>
        <w:rPr>
          <w:rFonts w:hAnsi="宋体" w:cs="宋体"/>
          <w:color w:val="auto"/>
          <w:highlight w:val="none"/>
        </w:rPr>
      </w:pPr>
    </w:p>
    <w:p w14:paraId="01FB6FE3">
      <w:pPr>
        <w:pStyle w:val="202"/>
        <w:snapToGrid w:val="0"/>
        <w:spacing w:line="400" w:lineRule="exact"/>
        <w:ind w:right="17"/>
        <w:jc w:val="right"/>
        <w:rPr>
          <w:rFonts w:hAnsi="宋体" w:cs="宋体"/>
          <w:color w:val="auto"/>
          <w:highlight w:val="none"/>
        </w:rPr>
      </w:pPr>
    </w:p>
    <w:p w14:paraId="260011D6">
      <w:pPr>
        <w:pStyle w:val="202"/>
        <w:snapToGrid w:val="0"/>
        <w:spacing w:line="400" w:lineRule="exact"/>
        <w:ind w:right="17"/>
        <w:jc w:val="right"/>
        <w:rPr>
          <w:rFonts w:hAnsi="宋体" w:cs="宋体"/>
          <w:color w:val="auto"/>
          <w:highlight w:val="none"/>
        </w:rPr>
      </w:pPr>
    </w:p>
    <w:p w14:paraId="6BB90553">
      <w:pPr>
        <w:pStyle w:val="202"/>
        <w:snapToGrid w:val="0"/>
        <w:spacing w:line="400" w:lineRule="exact"/>
        <w:ind w:right="17"/>
        <w:jc w:val="right"/>
        <w:rPr>
          <w:rFonts w:hAnsi="宋体" w:cs="宋体"/>
          <w:color w:val="auto"/>
          <w:highlight w:val="none"/>
        </w:rPr>
      </w:pPr>
    </w:p>
    <w:p w14:paraId="340E360B">
      <w:pPr>
        <w:pStyle w:val="202"/>
        <w:snapToGrid w:val="0"/>
        <w:spacing w:line="400" w:lineRule="exact"/>
        <w:ind w:right="17"/>
        <w:jc w:val="right"/>
        <w:rPr>
          <w:rFonts w:hAnsi="宋体" w:cs="宋体"/>
          <w:color w:val="auto"/>
          <w:highlight w:val="none"/>
        </w:rPr>
      </w:pPr>
    </w:p>
    <w:p w14:paraId="203C0543">
      <w:pPr>
        <w:pStyle w:val="202"/>
        <w:snapToGrid w:val="0"/>
        <w:spacing w:line="400" w:lineRule="exact"/>
        <w:ind w:right="17"/>
        <w:jc w:val="right"/>
        <w:rPr>
          <w:rFonts w:hAnsi="宋体" w:cs="宋体"/>
          <w:color w:val="auto"/>
          <w:highlight w:val="none"/>
        </w:rPr>
      </w:pPr>
    </w:p>
    <w:p w14:paraId="39A296D5">
      <w:pPr>
        <w:pStyle w:val="202"/>
        <w:snapToGrid w:val="0"/>
        <w:spacing w:line="400" w:lineRule="exact"/>
        <w:ind w:right="17"/>
        <w:jc w:val="right"/>
        <w:rPr>
          <w:rFonts w:hAnsi="宋体" w:cs="宋体"/>
          <w:color w:val="auto"/>
          <w:highlight w:val="none"/>
        </w:rPr>
      </w:pPr>
    </w:p>
    <w:p w14:paraId="2D814BC3">
      <w:pPr>
        <w:pStyle w:val="202"/>
        <w:snapToGrid w:val="0"/>
        <w:spacing w:line="400" w:lineRule="exact"/>
        <w:ind w:right="17"/>
        <w:jc w:val="center"/>
        <w:rPr>
          <w:rFonts w:ascii="宋体" w:hAnsi="宋体" w:cs="宋体"/>
          <w:b/>
          <w:color w:val="auto"/>
          <w:sz w:val="24"/>
          <w:highlight w:val="none"/>
        </w:rPr>
      </w:pPr>
      <w:r>
        <w:rPr>
          <w:rFonts w:hint="eastAsia" w:ascii="宋体" w:hAnsi="宋体" w:cs="宋体"/>
          <w:b/>
          <w:color w:val="auto"/>
          <w:sz w:val="24"/>
          <w:highlight w:val="none"/>
        </w:rPr>
        <w:t>书面声明</w:t>
      </w:r>
    </w:p>
    <w:p w14:paraId="54443E46">
      <w:pPr>
        <w:pStyle w:val="202"/>
        <w:snapToGrid w:val="0"/>
        <w:spacing w:line="400" w:lineRule="exact"/>
        <w:ind w:right="17"/>
        <w:jc w:val="center"/>
        <w:rPr>
          <w:rFonts w:hAnsi="宋体" w:cs="宋体"/>
          <w:color w:val="auto"/>
          <w:highlight w:val="none"/>
        </w:rPr>
      </w:pPr>
    </w:p>
    <w:p w14:paraId="5915D361">
      <w:pPr>
        <w:widowControl/>
        <w:spacing w:line="360" w:lineRule="auto"/>
        <w:jc w:val="lef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本单位郑重声明，我公司无以下情形：</w:t>
      </w:r>
    </w:p>
    <w:p w14:paraId="355B02CF">
      <w:pPr>
        <w:widowControl/>
        <w:spacing w:line="360" w:lineRule="auto"/>
        <w:ind w:firstLine="504" w:firstLineChars="200"/>
        <w:jc w:val="left"/>
        <w:rPr>
          <w:color w:val="auto"/>
          <w:highlight w:val="none"/>
        </w:rPr>
      </w:pPr>
      <w:r>
        <w:rPr>
          <w:rFonts w:hint="eastAsia" w:ascii="宋体" w:hAnsi="宋体" w:cs="宋体"/>
          <w:color w:val="auto"/>
          <w:spacing w:val="6"/>
          <w:sz w:val="24"/>
          <w:szCs w:val="24"/>
          <w:highlight w:val="none"/>
        </w:rPr>
        <w:t>1、</w:t>
      </w:r>
      <w:r>
        <w:rPr>
          <w:rFonts w:ascii="宋体" w:hAnsi="宋体" w:cs="宋体"/>
          <w:color w:val="auto"/>
          <w:kern w:val="0"/>
          <w:sz w:val="24"/>
          <w:szCs w:val="24"/>
          <w:highlight w:val="none"/>
          <w:lang w:bidi="ar"/>
        </w:rPr>
        <w:t>与招标人存在利害关系可能影响招标公正性的法人、其他组织或者个人，不得参加同一标段投标或者未划分标段的同一招标不得参加投标。</w:t>
      </w:r>
    </w:p>
    <w:p w14:paraId="7F879F7B">
      <w:pPr>
        <w:widowControl/>
        <w:spacing w:line="360" w:lineRule="auto"/>
        <w:ind w:firstLine="480" w:firstLineChars="200"/>
        <w:jc w:val="left"/>
        <w:rPr>
          <w:color w:val="auto"/>
          <w:highlight w:val="none"/>
        </w:rPr>
      </w:pPr>
      <w:r>
        <w:rPr>
          <w:rFonts w:hint="eastAsia" w:ascii="宋体" w:hAnsi="宋体" w:cs="宋体"/>
          <w:color w:val="auto"/>
          <w:kern w:val="0"/>
          <w:sz w:val="24"/>
          <w:szCs w:val="24"/>
          <w:highlight w:val="none"/>
          <w:lang w:bidi="ar"/>
        </w:rPr>
        <w:t>2、</w:t>
      </w:r>
      <w:r>
        <w:rPr>
          <w:rFonts w:ascii="宋体" w:hAnsi="宋体" w:cs="宋体"/>
          <w:color w:val="auto"/>
          <w:kern w:val="0"/>
          <w:sz w:val="24"/>
          <w:szCs w:val="24"/>
          <w:highlight w:val="none"/>
          <w:lang w:bidi="ar"/>
        </w:rPr>
        <w:t>投标单位负责人为同一人或者存在直接控股、管理关系的不同投标人不得参加同一合同项下的采购活动。</w:t>
      </w:r>
    </w:p>
    <w:p w14:paraId="10FE1B30">
      <w:pPr>
        <w:snapToGrid w:val="0"/>
        <w:spacing w:line="360" w:lineRule="auto"/>
        <w:ind w:firstLine="504" w:firstLineChars="200"/>
        <w:rPr>
          <w:rFonts w:ascii="宋体" w:hAnsi="宋体" w:cs="宋体"/>
          <w:color w:val="auto"/>
          <w:spacing w:val="6"/>
          <w:sz w:val="24"/>
          <w:szCs w:val="24"/>
          <w:highlight w:val="none"/>
        </w:rPr>
      </w:pPr>
    </w:p>
    <w:p w14:paraId="7F65AA52">
      <w:pPr>
        <w:snapToGrid w:val="0"/>
        <w:spacing w:line="360" w:lineRule="auto"/>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我方对以上声明负全部法律责任。</w:t>
      </w:r>
    </w:p>
    <w:p w14:paraId="7A43FA3B">
      <w:pPr>
        <w:snapToGrid w:val="0"/>
        <w:spacing w:line="360" w:lineRule="auto"/>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特此声明。</w:t>
      </w:r>
    </w:p>
    <w:p w14:paraId="1CE39FBF">
      <w:pPr>
        <w:pStyle w:val="202"/>
        <w:snapToGrid w:val="0"/>
        <w:spacing w:line="400" w:lineRule="exact"/>
        <w:ind w:right="17"/>
        <w:jc w:val="center"/>
        <w:rPr>
          <w:rFonts w:hAnsi="宋体" w:cs="宋体"/>
          <w:color w:val="auto"/>
          <w:highlight w:val="none"/>
        </w:rPr>
      </w:pPr>
    </w:p>
    <w:p w14:paraId="63743508">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7C235B27">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736CF2E8">
      <w:pPr>
        <w:pStyle w:val="202"/>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14:paraId="35AFA558">
      <w:pPr>
        <w:rPr>
          <w:rFonts w:ascii="宋体" w:hAnsi="宋体" w:cs="宋体"/>
          <w:b/>
          <w:color w:val="auto"/>
          <w:sz w:val="24"/>
          <w:szCs w:val="24"/>
          <w:highlight w:val="none"/>
        </w:rPr>
      </w:pPr>
      <w:r>
        <w:rPr>
          <w:rFonts w:hint="eastAsia" w:ascii="宋体" w:hAnsi="宋体" w:cs="宋体"/>
          <w:b/>
          <w:color w:val="auto"/>
          <w:sz w:val="24"/>
          <w:szCs w:val="24"/>
          <w:highlight w:val="none"/>
        </w:rPr>
        <w:t>13、关于符合本国产品标准的声明函</w:t>
      </w:r>
    </w:p>
    <w:p w14:paraId="2E66EC93">
      <w:pPr>
        <w:widowControl/>
        <w:wordWrap w:val="0"/>
        <w:spacing w:line="24" w:lineRule="atLeast"/>
        <w:jc w:val="center"/>
        <w:rPr>
          <w:rStyle w:val="42"/>
          <w:rFonts w:ascii="Helvetica" w:hAnsi="Helvetica" w:eastAsia="Helvetica" w:cs="Helvetica"/>
          <w:color w:val="auto"/>
          <w:kern w:val="0"/>
          <w:highlight w:val="none"/>
          <w:lang w:bidi="ar"/>
        </w:rPr>
      </w:pPr>
    </w:p>
    <w:p w14:paraId="3D8E8172">
      <w:pPr>
        <w:widowControl/>
        <w:wordWrap w:val="0"/>
        <w:spacing w:line="24" w:lineRule="atLeast"/>
        <w:jc w:val="center"/>
        <w:rPr>
          <w:rFonts w:ascii="Helvetica" w:hAnsi="Helvetica" w:eastAsia="Helvetica" w:cs="Helvetica"/>
          <w:color w:val="auto"/>
          <w:highlight w:val="none"/>
        </w:rPr>
      </w:pPr>
      <w:r>
        <w:rPr>
          <w:rStyle w:val="42"/>
          <w:rFonts w:ascii="Helvetica" w:hAnsi="Helvetica" w:eastAsia="Helvetica" w:cs="Helvetica"/>
          <w:color w:val="auto"/>
          <w:kern w:val="0"/>
          <w:highlight w:val="none"/>
          <w:lang w:bidi="ar"/>
        </w:rPr>
        <w:t>关于符合本国产品标准的声明函</w:t>
      </w:r>
    </w:p>
    <w:p w14:paraId="1F08B52D">
      <w:pPr>
        <w:widowControl/>
        <w:wordWrap w:val="0"/>
        <w:spacing w:line="24" w:lineRule="atLeast"/>
        <w:jc w:val="left"/>
        <w:rPr>
          <w:rFonts w:ascii="Helvetica" w:hAnsi="Helvetica" w:eastAsia="Helvetica" w:cs="Helvetica"/>
          <w:color w:val="auto"/>
          <w:highlight w:val="none"/>
        </w:rPr>
      </w:pPr>
      <w:r>
        <w:rPr>
          <w:rFonts w:ascii="Helvetica" w:hAnsi="Helvetica" w:eastAsia="Helvetica" w:cs="Helvetica"/>
          <w:color w:val="auto"/>
          <w:kern w:val="0"/>
          <w:sz w:val="24"/>
          <w:szCs w:val="24"/>
          <w:highlight w:val="none"/>
          <w:lang w:bidi="ar"/>
        </w:rPr>
        <w:t> </w:t>
      </w:r>
    </w:p>
    <w:p w14:paraId="2C1B531E">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本公司（单位）郑重声明，根据《国务院办公厅关于在政府采购中实施本国产品标准及相关政策的通知》（国办发〔2025〕34号）的规定，本公司（单位）提供的以下产品属于本国产品。具体情况如下：</w:t>
      </w:r>
    </w:p>
    <w:p w14:paraId="2F508296">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1.</w:t>
      </w:r>
      <w:r>
        <w:rPr>
          <w:rFonts w:hint="eastAsia" w:ascii="宋体" w:hAnsi="宋体" w:cs="宋体"/>
          <w:color w:val="auto"/>
          <w:kern w:val="0"/>
          <w:sz w:val="24"/>
          <w:szCs w:val="24"/>
          <w:highlight w:val="none"/>
          <w:u w:val="single"/>
          <w:lang w:bidi="ar"/>
        </w:rPr>
        <w:t>（产品名称1）1</w:t>
      </w:r>
      <w:r>
        <w:rPr>
          <w:rFonts w:hint="eastAsia" w:ascii="宋体" w:hAnsi="宋体" w:cs="宋体"/>
          <w:color w:val="auto"/>
          <w:kern w:val="0"/>
          <w:sz w:val="24"/>
          <w:szCs w:val="24"/>
          <w:highlight w:val="none"/>
          <w:lang w:bidi="ar"/>
        </w:rPr>
        <w:t>，生产厂为</w:t>
      </w:r>
      <w:r>
        <w:rPr>
          <w:rFonts w:hint="eastAsia" w:ascii="宋体" w:hAnsi="宋体" w:cs="宋体"/>
          <w:color w:val="auto"/>
          <w:kern w:val="0"/>
          <w:sz w:val="24"/>
          <w:szCs w:val="24"/>
          <w:highlight w:val="none"/>
          <w:u w:val="single"/>
          <w:lang w:bidi="ar"/>
        </w:rPr>
        <w:t>（厂名）2</w:t>
      </w:r>
      <w:r>
        <w:rPr>
          <w:rFonts w:hint="eastAsia" w:ascii="宋体" w:hAnsi="宋体" w:cs="宋体"/>
          <w:color w:val="auto"/>
          <w:kern w:val="0"/>
          <w:sz w:val="24"/>
          <w:szCs w:val="24"/>
          <w:highlight w:val="none"/>
          <w:lang w:bidi="ar"/>
        </w:rPr>
        <w:t>，厂址为</w:t>
      </w:r>
      <w:r>
        <w:rPr>
          <w:rFonts w:hint="eastAsia" w:ascii="宋体" w:hAnsi="宋体" w:cs="宋体"/>
          <w:color w:val="auto"/>
          <w:kern w:val="0"/>
          <w:sz w:val="24"/>
          <w:szCs w:val="24"/>
          <w:highlight w:val="none"/>
          <w:u w:val="single"/>
          <w:lang w:bidi="ar"/>
        </w:rPr>
        <w:t>（生产厂址）</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（产品名称1）</w:t>
      </w:r>
      <w:r>
        <w:rPr>
          <w:rFonts w:hint="eastAsia" w:ascii="宋体" w:hAnsi="宋体" w:cs="宋体"/>
          <w:color w:val="auto"/>
          <w:kern w:val="0"/>
          <w:sz w:val="24"/>
          <w:szCs w:val="24"/>
          <w:highlight w:val="none"/>
          <w:lang w:bidi="ar"/>
        </w:rPr>
        <w:t>的中国境内生产的组件成本占比≥</w:t>
      </w:r>
      <w:r>
        <w:rPr>
          <w:rFonts w:hint="eastAsia" w:ascii="宋体" w:hAnsi="宋体" w:cs="宋体"/>
          <w:color w:val="auto"/>
          <w:kern w:val="0"/>
          <w:sz w:val="24"/>
          <w:szCs w:val="24"/>
          <w:highlight w:val="none"/>
          <w:u w:val="single"/>
          <w:lang w:bidi="ar"/>
        </w:rPr>
        <w:t>（规定比例）3</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（产品名称1）</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（关键组件）4</w:t>
      </w:r>
      <w:r>
        <w:rPr>
          <w:rFonts w:hint="eastAsia" w:ascii="宋体" w:hAnsi="宋体" w:cs="宋体"/>
          <w:color w:val="auto"/>
          <w:kern w:val="0"/>
          <w:sz w:val="24"/>
          <w:szCs w:val="24"/>
          <w:highlight w:val="none"/>
          <w:lang w:bidi="ar"/>
        </w:rPr>
        <w:t>在中国境内生产。</w:t>
      </w:r>
      <w:r>
        <w:rPr>
          <w:rFonts w:hint="eastAsia" w:ascii="宋体" w:hAnsi="宋体" w:cs="宋体"/>
          <w:color w:val="auto"/>
          <w:kern w:val="0"/>
          <w:sz w:val="24"/>
          <w:szCs w:val="24"/>
          <w:highlight w:val="none"/>
          <w:u w:val="single"/>
          <w:lang w:bidi="ar"/>
        </w:rPr>
        <w:t>（产品名称1）</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（关键工序）5</w:t>
      </w:r>
      <w:r>
        <w:rPr>
          <w:rFonts w:hint="eastAsia" w:ascii="宋体" w:hAnsi="宋体" w:cs="宋体"/>
          <w:color w:val="auto"/>
          <w:kern w:val="0"/>
          <w:sz w:val="24"/>
          <w:szCs w:val="24"/>
          <w:highlight w:val="none"/>
          <w:lang w:bidi="ar"/>
        </w:rPr>
        <w:t>在中国境内完成。</w:t>
      </w:r>
    </w:p>
    <w:p w14:paraId="3EAE826B">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2.</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，生产厂为</w:t>
      </w:r>
      <w:r>
        <w:rPr>
          <w:rFonts w:hint="eastAsia" w:ascii="宋体" w:hAnsi="宋体" w:cs="宋体"/>
          <w:color w:val="auto"/>
          <w:kern w:val="0"/>
          <w:sz w:val="24"/>
          <w:szCs w:val="24"/>
          <w:highlight w:val="none"/>
          <w:u w:val="single"/>
          <w:lang w:bidi="ar"/>
        </w:rPr>
        <w:t>（厂名）</w:t>
      </w:r>
      <w:r>
        <w:rPr>
          <w:rFonts w:hint="eastAsia" w:ascii="宋体" w:hAnsi="宋体" w:cs="宋体"/>
          <w:color w:val="auto"/>
          <w:kern w:val="0"/>
          <w:sz w:val="24"/>
          <w:szCs w:val="24"/>
          <w:highlight w:val="none"/>
          <w:lang w:bidi="ar"/>
        </w:rPr>
        <w:t>，厂址为</w:t>
      </w:r>
      <w:r>
        <w:rPr>
          <w:rFonts w:hint="eastAsia" w:ascii="宋体" w:hAnsi="宋体" w:cs="宋体"/>
          <w:color w:val="auto"/>
          <w:kern w:val="0"/>
          <w:sz w:val="24"/>
          <w:szCs w:val="24"/>
          <w:highlight w:val="none"/>
          <w:u w:val="single"/>
          <w:lang w:bidi="ar"/>
        </w:rPr>
        <w:t>（生产厂址）</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的中国境内生产的组件成本占比≥</w:t>
      </w:r>
      <w:r>
        <w:rPr>
          <w:rFonts w:hint="eastAsia" w:ascii="宋体" w:hAnsi="宋体" w:cs="宋体"/>
          <w:color w:val="auto"/>
          <w:kern w:val="0"/>
          <w:sz w:val="24"/>
          <w:szCs w:val="24"/>
          <w:highlight w:val="none"/>
          <w:u w:val="single"/>
          <w:lang w:bidi="ar"/>
        </w:rPr>
        <w:t>（规定比例）</w:t>
      </w:r>
      <w:r>
        <w:rPr>
          <w:rFonts w:hint="eastAsia" w:ascii="宋体" w:hAnsi="宋体" w:cs="宋体"/>
          <w:color w:val="auto"/>
          <w:kern w:val="0"/>
          <w:sz w:val="24"/>
          <w:szCs w:val="24"/>
          <w:highlight w:val="none"/>
          <w:lang w:bidi="ar"/>
        </w:rPr>
        <w:t>。</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（关键组件）</w:t>
      </w:r>
      <w:r>
        <w:rPr>
          <w:rFonts w:hint="eastAsia" w:ascii="宋体" w:hAnsi="宋体" w:cs="宋体"/>
          <w:color w:val="auto"/>
          <w:kern w:val="0"/>
          <w:sz w:val="24"/>
          <w:szCs w:val="24"/>
          <w:highlight w:val="none"/>
          <w:lang w:bidi="ar"/>
        </w:rPr>
        <w:t>在中国境内生产。</w:t>
      </w:r>
      <w:r>
        <w:rPr>
          <w:rFonts w:hint="eastAsia" w:ascii="宋体" w:hAnsi="宋体" w:cs="宋体"/>
          <w:color w:val="auto"/>
          <w:kern w:val="0"/>
          <w:sz w:val="24"/>
          <w:szCs w:val="24"/>
          <w:highlight w:val="none"/>
          <w:u w:val="single"/>
          <w:lang w:bidi="ar"/>
        </w:rPr>
        <w:t>（产品名称2）</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（关键工序）</w:t>
      </w:r>
      <w:r>
        <w:rPr>
          <w:rFonts w:hint="eastAsia" w:ascii="宋体" w:hAnsi="宋体" w:cs="宋体"/>
          <w:color w:val="auto"/>
          <w:kern w:val="0"/>
          <w:sz w:val="24"/>
          <w:szCs w:val="24"/>
          <w:highlight w:val="none"/>
          <w:lang w:bidi="ar"/>
        </w:rPr>
        <w:t>在中国境内完成。</w:t>
      </w:r>
    </w:p>
    <w:p w14:paraId="47CE191D">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w:t>
      </w:r>
    </w:p>
    <w:p w14:paraId="48A649FF">
      <w:pPr>
        <w:widowControl/>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本公司（单位）对上述声明内容的真实性负责。如有虚假，愿承担相应法律责任。</w:t>
      </w:r>
    </w:p>
    <w:p w14:paraId="2E719B06">
      <w:pPr>
        <w:widowControl/>
        <w:wordWrap w:val="0"/>
        <w:spacing w:line="360" w:lineRule="auto"/>
        <w:jc w:val="left"/>
        <w:rPr>
          <w:rFonts w:ascii="宋体" w:hAnsi="宋体" w:cs="宋体"/>
          <w:color w:val="auto"/>
          <w:sz w:val="24"/>
          <w:szCs w:val="24"/>
          <w:highlight w:val="none"/>
        </w:rPr>
      </w:pPr>
    </w:p>
    <w:p w14:paraId="5754F16C">
      <w:pPr>
        <w:widowControl/>
        <w:wordWrap w:val="0"/>
        <w:spacing w:line="360" w:lineRule="auto"/>
        <w:jc w:val="left"/>
        <w:rPr>
          <w:rFonts w:ascii="宋体" w:hAnsi="宋体" w:cs="宋体"/>
          <w:color w:val="auto"/>
          <w:sz w:val="24"/>
          <w:szCs w:val="24"/>
          <w:highlight w:val="none"/>
        </w:rPr>
      </w:pPr>
    </w:p>
    <w:p w14:paraId="70BE9792">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公司（单位）名称（盖章）：　        </w:t>
      </w:r>
    </w:p>
    <w:p w14:paraId="5AC9A5FD">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日期：　     年　  月　  日         </w:t>
      </w:r>
    </w:p>
    <w:p w14:paraId="04F1AEC2">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w:t>
      </w:r>
    </w:p>
    <w:p w14:paraId="46CA05C5">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__________________</w:t>
      </w:r>
    </w:p>
    <w:p w14:paraId="4F4C205F">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1.产品如有型号，请在“产品名称”栏一并填写。</w:t>
      </w:r>
    </w:p>
    <w:p w14:paraId="3682B321">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2.生产厂名与厂址应与生产厂营业执照载明的相关信息保持一致。</w:t>
      </w:r>
    </w:p>
    <w:p w14:paraId="4F1ED1ED">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3.该产品的中国境内生产的组件成本占比相关要求实施前，“规定比例”栏可不填，下同。</w:t>
      </w:r>
    </w:p>
    <w:p w14:paraId="6C68623D">
      <w:pPr>
        <w:widowControl/>
        <w:wordWrap w:val="0"/>
        <w:spacing w:line="36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lang w:bidi="ar"/>
        </w:rPr>
        <w:t>  4.该产品的关键组件要求实施前，“关键组件”栏可不填，下同。</w:t>
      </w:r>
    </w:p>
    <w:p w14:paraId="7B8DA2A3">
      <w:pPr>
        <w:widowControl/>
        <w:wordWrap w:val="0"/>
        <w:spacing w:line="360" w:lineRule="auto"/>
        <w:jc w:val="left"/>
        <w:rPr>
          <w:rFonts w:ascii="宋体" w:hAnsi="宋体" w:cs="宋体"/>
          <w:b/>
          <w:color w:val="auto"/>
          <w:sz w:val="24"/>
          <w:szCs w:val="24"/>
          <w:highlight w:val="none"/>
        </w:rPr>
      </w:pPr>
      <w:r>
        <w:rPr>
          <w:rFonts w:hint="eastAsia" w:ascii="宋体" w:hAnsi="宋体" w:cs="宋体"/>
          <w:color w:val="auto"/>
          <w:kern w:val="0"/>
          <w:sz w:val="24"/>
          <w:szCs w:val="24"/>
          <w:highlight w:val="none"/>
          <w:lang w:bidi="ar"/>
        </w:rPr>
        <w:t>  5.该产品的关键工序要求实施前，“关键工序”栏可不填，下同。</w:t>
      </w:r>
    </w:p>
    <w:p w14:paraId="03A53763">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744A814A">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14、其他证明文件或供应商认为应提交的商务文件</w:t>
      </w:r>
    </w:p>
    <w:p w14:paraId="694EFA27">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14:paraId="15DF973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（2）其他</w:t>
      </w:r>
    </w:p>
    <w:p w14:paraId="3DB7F14B">
      <w:pPr>
        <w:widowControl/>
        <w:snapToGrid w:val="0"/>
        <w:spacing w:line="400" w:lineRule="exact"/>
        <w:jc w:val="left"/>
        <w:rPr>
          <w:rFonts w:ascii="宋体" w:hAnsi="宋体" w:cs="宋体"/>
          <w:b/>
          <w:bCs/>
          <w:color w:val="auto"/>
          <w:sz w:val="24"/>
          <w:szCs w:val="24"/>
          <w:highlight w:val="none"/>
        </w:rPr>
      </w:pPr>
    </w:p>
    <w:p w14:paraId="54B09074">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14A2938D">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15、技术偏离表格式：</w:t>
      </w:r>
    </w:p>
    <w:p w14:paraId="3C0340CB">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14:paraId="63D98AE7">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14:paraId="2BB2B3FC">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tbl>
      <w:tblPr>
        <w:tblStyle w:val="39"/>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14:paraId="02276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14:paraId="01AF8BE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14:paraId="469645ED">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14:paraId="0E05735D">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14:paraId="70A1C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DBCB728">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14:paraId="0BCB5EB1">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14:paraId="13FC58A9">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14:paraId="52E21340">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14:paraId="46095F82">
            <w:pPr>
              <w:widowControl/>
              <w:adjustRightInd w:val="0"/>
              <w:snapToGrid w:val="0"/>
              <w:spacing w:line="400" w:lineRule="exact"/>
              <w:jc w:val="center"/>
              <w:rPr>
                <w:rFonts w:ascii="宋体" w:hAnsi="宋体" w:cs="宋体"/>
                <w:color w:val="auto"/>
                <w:sz w:val="24"/>
                <w:szCs w:val="24"/>
                <w:highlight w:val="none"/>
              </w:rPr>
            </w:pPr>
          </w:p>
        </w:tc>
      </w:tr>
      <w:tr w14:paraId="190033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0A97A51D">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6A5F01F">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56F9C401">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46E1462F">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4B4E6186">
            <w:pPr>
              <w:adjustRightInd w:val="0"/>
              <w:snapToGrid w:val="0"/>
              <w:spacing w:line="400" w:lineRule="exact"/>
              <w:jc w:val="center"/>
              <w:rPr>
                <w:rFonts w:ascii="宋体" w:hAnsi="宋体" w:cs="宋体"/>
                <w:color w:val="auto"/>
                <w:sz w:val="24"/>
                <w:szCs w:val="24"/>
                <w:highlight w:val="none"/>
              </w:rPr>
            </w:pPr>
          </w:p>
        </w:tc>
      </w:tr>
      <w:tr w14:paraId="4EE6C8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7C31148">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517AC1B6">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6D6632B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04B38666">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76379F4A">
            <w:pPr>
              <w:adjustRightInd w:val="0"/>
              <w:snapToGrid w:val="0"/>
              <w:spacing w:line="400" w:lineRule="exact"/>
              <w:jc w:val="center"/>
              <w:rPr>
                <w:rFonts w:ascii="宋体" w:hAnsi="宋体" w:cs="宋体"/>
                <w:color w:val="auto"/>
                <w:sz w:val="24"/>
                <w:szCs w:val="24"/>
                <w:highlight w:val="none"/>
              </w:rPr>
            </w:pPr>
          </w:p>
        </w:tc>
      </w:tr>
      <w:tr w14:paraId="4AF1D0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06A5CE0F">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21DED1D8">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7C250E6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34A580F2">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4C50985C">
            <w:pPr>
              <w:adjustRightInd w:val="0"/>
              <w:snapToGrid w:val="0"/>
              <w:spacing w:line="400" w:lineRule="exact"/>
              <w:jc w:val="center"/>
              <w:rPr>
                <w:rFonts w:ascii="宋体" w:hAnsi="宋体" w:cs="宋体"/>
                <w:color w:val="auto"/>
                <w:sz w:val="24"/>
                <w:szCs w:val="24"/>
                <w:highlight w:val="none"/>
              </w:rPr>
            </w:pPr>
          </w:p>
        </w:tc>
      </w:tr>
      <w:tr w14:paraId="18997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9C91E48">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39B89C5">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31012DB3">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1542EB7F">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435114D8">
            <w:pPr>
              <w:adjustRightInd w:val="0"/>
              <w:snapToGrid w:val="0"/>
              <w:spacing w:line="400" w:lineRule="exact"/>
              <w:jc w:val="center"/>
              <w:rPr>
                <w:rFonts w:ascii="宋体" w:hAnsi="宋体" w:cs="宋体"/>
                <w:color w:val="auto"/>
                <w:sz w:val="24"/>
                <w:szCs w:val="24"/>
                <w:highlight w:val="none"/>
              </w:rPr>
            </w:pPr>
          </w:p>
        </w:tc>
      </w:tr>
      <w:tr w14:paraId="4696CC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521D8190">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5100490E">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12FF6C77">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6BF0C48E">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0EB165B0">
            <w:pPr>
              <w:adjustRightInd w:val="0"/>
              <w:snapToGrid w:val="0"/>
              <w:spacing w:line="400" w:lineRule="exact"/>
              <w:jc w:val="center"/>
              <w:rPr>
                <w:rFonts w:ascii="宋体" w:hAnsi="宋体" w:cs="宋体"/>
                <w:color w:val="auto"/>
                <w:sz w:val="24"/>
                <w:szCs w:val="24"/>
                <w:highlight w:val="none"/>
              </w:rPr>
            </w:pPr>
          </w:p>
        </w:tc>
      </w:tr>
    </w:tbl>
    <w:p w14:paraId="2224DABB">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14:paraId="7AE80ABA">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14:paraId="32F076C2">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14:paraId="4E08CD9D">
      <w:pPr>
        <w:adjustRightInd w:val="0"/>
        <w:snapToGrid w:val="0"/>
        <w:spacing w:line="400" w:lineRule="exact"/>
        <w:ind w:right="-817" w:rightChars="-389"/>
        <w:rPr>
          <w:rFonts w:ascii="宋体" w:hAnsi="宋体" w:cs="宋体"/>
          <w:color w:val="auto"/>
          <w:sz w:val="24"/>
          <w:szCs w:val="24"/>
          <w:highlight w:val="none"/>
        </w:rPr>
      </w:pPr>
    </w:p>
    <w:p w14:paraId="42C4D168">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3A266AA">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5849401A">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0D2D1611">
      <w:pPr>
        <w:pStyle w:val="30"/>
        <w:rPr>
          <w:color w:val="auto"/>
          <w:highlight w:val="none"/>
        </w:rPr>
      </w:pPr>
    </w:p>
    <w:p w14:paraId="15B43DE1">
      <w:pPr>
        <w:pStyle w:val="30"/>
        <w:rPr>
          <w:rFonts w:ascii="宋体" w:hAnsi="宋体" w:cs="宋体"/>
          <w:b/>
          <w:bCs/>
          <w:color w:val="auto"/>
          <w:sz w:val="24"/>
          <w:szCs w:val="24"/>
          <w:highlight w:val="none"/>
        </w:rPr>
      </w:pPr>
    </w:p>
    <w:p w14:paraId="3EB6A0F4">
      <w:pPr>
        <w:pStyle w:val="30"/>
        <w:rPr>
          <w:rFonts w:ascii="宋体" w:hAnsi="宋体" w:cs="宋体"/>
          <w:b/>
          <w:bCs/>
          <w:color w:val="auto"/>
          <w:sz w:val="24"/>
          <w:szCs w:val="24"/>
          <w:highlight w:val="none"/>
        </w:rPr>
      </w:pPr>
    </w:p>
    <w:p w14:paraId="7F497DAA">
      <w:pPr>
        <w:pStyle w:val="30"/>
        <w:rPr>
          <w:rFonts w:ascii="宋体" w:hAnsi="宋体" w:cs="宋体"/>
          <w:b/>
          <w:bCs/>
          <w:color w:val="auto"/>
          <w:sz w:val="24"/>
          <w:szCs w:val="24"/>
          <w:highlight w:val="none"/>
        </w:rPr>
      </w:pPr>
    </w:p>
    <w:p w14:paraId="4166D878">
      <w:pPr>
        <w:pStyle w:val="30"/>
        <w:rPr>
          <w:rFonts w:ascii="宋体" w:hAnsi="宋体" w:cs="宋体"/>
          <w:b/>
          <w:bCs/>
          <w:color w:val="auto"/>
          <w:sz w:val="24"/>
          <w:szCs w:val="24"/>
          <w:highlight w:val="none"/>
        </w:rPr>
      </w:pPr>
    </w:p>
    <w:p w14:paraId="218B5B39">
      <w:pPr>
        <w:pStyle w:val="30"/>
        <w:rPr>
          <w:rFonts w:ascii="宋体" w:hAnsi="宋体" w:cs="宋体"/>
          <w:b/>
          <w:bCs/>
          <w:color w:val="auto"/>
          <w:sz w:val="24"/>
          <w:szCs w:val="24"/>
          <w:highlight w:val="none"/>
        </w:rPr>
      </w:pPr>
    </w:p>
    <w:p w14:paraId="7A375532">
      <w:pPr>
        <w:pStyle w:val="30"/>
        <w:rPr>
          <w:rFonts w:ascii="宋体" w:hAnsi="宋体" w:cs="宋体"/>
          <w:b/>
          <w:bCs/>
          <w:color w:val="auto"/>
          <w:sz w:val="24"/>
          <w:szCs w:val="24"/>
          <w:highlight w:val="none"/>
        </w:rPr>
      </w:pPr>
    </w:p>
    <w:p w14:paraId="37CC67E9">
      <w:pPr>
        <w:pStyle w:val="30"/>
        <w:rPr>
          <w:rFonts w:ascii="宋体" w:hAnsi="宋体" w:cs="宋体"/>
          <w:b/>
          <w:bCs/>
          <w:color w:val="auto"/>
          <w:sz w:val="24"/>
          <w:szCs w:val="24"/>
          <w:highlight w:val="none"/>
        </w:rPr>
      </w:pPr>
    </w:p>
    <w:p w14:paraId="37BB1C27">
      <w:pPr>
        <w:pStyle w:val="30"/>
        <w:rPr>
          <w:rFonts w:ascii="宋体" w:hAnsi="宋体" w:cs="宋体"/>
          <w:b/>
          <w:bCs/>
          <w:color w:val="auto"/>
          <w:sz w:val="24"/>
          <w:szCs w:val="24"/>
          <w:highlight w:val="none"/>
        </w:rPr>
      </w:pPr>
    </w:p>
    <w:p w14:paraId="2033DB16">
      <w:pPr>
        <w:pStyle w:val="30"/>
        <w:rPr>
          <w:rFonts w:ascii="宋体" w:hAnsi="宋体" w:cs="宋体"/>
          <w:b/>
          <w:bCs/>
          <w:color w:val="auto"/>
          <w:sz w:val="24"/>
          <w:szCs w:val="24"/>
          <w:highlight w:val="none"/>
        </w:rPr>
      </w:pPr>
    </w:p>
    <w:p w14:paraId="0068A972">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4A3934B5">
      <w:pPr>
        <w:widowControl/>
        <w:snapToGrid w:val="0"/>
        <w:spacing w:line="400" w:lineRule="exact"/>
        <w:jc w:val="left"/>
        <w:rPr>
          <w:rFonts w:ascii="宋体" w:hAnsi="宋体" w:cs="宋体"/>
          <w:b/>
          <w:color w:val="auto"/>
          <w:sz w:val="24"/>
          <w:szCs w:val="24"/>
          <w:highlight w:val="none"/>
        </w:rPr>
      </w:pPr>
      <w:r>
        <w:rPr>
          <w:rFonts w:hint="eastAsia" w:ascii="宋体" w:hAnsi="宋体" w:cs="宋体"/>
          <w:b/>
          <w:bCs/>
          <w:color w:val="auto"/>
          <w:sz w:val="24"/>
          <w:szCs w:val="24"/>
          <w:highlight w:val="none"/>
        </w:rPr>
        <w:t>16、</w:t>
      </w:r>
      <w:r>
        <w:rPr>
          <w:rFonts w:hint="eastAsia" w:ascii="宋体" w:hAnsi="宋体" w:cs="宋体"/>
          <w:b/>
          <w:color w:val="auto"/>
          <w:sz w:val="24"/>
          <w:szCs w:val="24"/>
          <w:highlight w:val="none"/>
        </w:rPr>
        <w:t>产品详细技术规格书</w:t>
      </w:r>
    </w:p>
    <w:p w14:paraId="0FA7E9BC">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14:paraId="37BE9B54">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14:paraId="2659AAAD">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14:paraId="58F57B6C">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14:paraId="5C8CD080">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14:paraId="2127986B">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14:paraId="070EF327">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14:paraId="6392CE12">
      <w:pPr>
        <w:widowControl/>
        <w:snapToGrid w:val="0"/>
        <w:spacing w:line="400" w:lineRule="exact"/>
        <w:jc w:val="left"/>
        <w:rPr>
          <w:rFonts w:ascii="宋体" w:hAnsi="宋体" w:cs="宋体"/>
          <w:b/>
          <w:color w:val="auto"/>
          <w:sz w:val="24"/>
          <w:szCs w:val="24"/>
          <w:highlight w:val="none"/>
        </w:rPr>
      </w:pPr>
    </w:p>
    <w:p w14:paraId="11F87D81">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04F38619">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17、与产品相关的由国家认可的检测机构出具的检测报告（如有）。</w:t>
      </w:r>
    </w:p>
    <w:p w14:paraId="0D6C2475">
      <w:pPr>
        <w:widowControl/>
        <w:snapToGrid w:val="0"/>
        <w:spacing w:line="400" w:lineRule="exact"/>
        <w:jc w:val="left"/>
        <w:rPr>
          <w:rFonts w:ascii="宋体" w:hAnsi="宋体" w:cs="宋体"/>
          <w:b/>
          <w:color w:val="auto"/>
          <w:sz w:val="24"/>
          <w:szCs w:val="24"/>
          <w:highlight w:val="none"/>
        </w:rPr>
      </w:pPr>
    </w:p>
    <w:p w14:paraId="08BF58E6">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2FC23278">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18、针对项目的详细组织实施方案：包括（但不限于）项目人员安排、项目供货方案、质量管控方案、测试（调试）方案等内容（格式自拟）；</w:t>
      </w:r>
    </w:p>
    <w:p w14:paraId="4816E0F0">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p>
    <w:p w14:paraId="30C02BA2">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756B486">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19、针对本项目的详细技术培训方案：包括（但不限于）</w:t>
      </w:r>
      <w:r>
        <w:rPr>
          <w:rFonts w:ascii="宋体" w:hAnsi="宋体" w:cs="宋体"/>
          <w:b/>
          <w:color w:val="auto"/>
          <w:sz w:val="24"/>
          <w:szCs w:val="24"/>
          <w:highlight w:val="none"/>
        </w:rPr>
        <w:t>培训内容</w:t>
      </w:r>
      <w:r>
        <w:rPr>
          <w:rFonts w:hint="eastAsia" w:ascii="宋体" w:hAnsi="宋体" w:cs="宋体"/>
          <w:b/>
          <w:color w:val="auto"/>
          <w:sz w:val="24"/>
          <w:szCs w:val="24"/>
          <w:highlight w:val="none"/>
        </w:rPr>
        <w:t>、</w:t>
      </w:r>
      <w:r>
        <w:rPr>
          <w:rFonts w:ascii="宋体" w:hAnsi="宋体" w:cs="宋体"/>
          <w:b/>
          <w:color w:val="auto"/>
          <w:sz w:val="24"/>
          <w:szCs w:val="24"/>
          <w:highlight w:val="none"/>
        </w:rPr>
        <w:t>培训方式</w:t>
      </w:r>
      <w:r>
        <w:rPr>
          <w:rFonts w:hint="eastAsia" w:ascii="宋体" w:hAnsi="宋体" w:cs="宋体"/>
          <w:b/>
          <w:color w:val="auto"/>
          <w:sz w:val="24"/>
          <w:szCs w:val="24"/>
          <w:highlight w:val="none"/>
        </w:rPr>
        <w:t>、</w:t>
      </w:r>
      <w:r>
        <w:rPr>
          <w:rFonts w:ascii="宋体" w:hAnsi="宋体" w:cs="宋体"/>
          <w:b/>
          <w:color w:val="auto"/>
          <w:sz w:val="24"/>
          <w:szCs w:val="24"/>
          <w:highlight w:val="none"/>
        </w:rPr>
        <w:t>培训计划</w:t>
      </w:r>
      <w:r>
        <w:rPr>
          <w:rFonts w:hint="eastAsia" w:ascii="宋体" w:hAnsi="宋体" w:cs="宋体"/>
          <w:b/>
          <w:color w:val="auto"/>
          <w:sz w:val="24"/>
          <w:szCs w:val="24"/>
          <w:highlight w:val="none"/>
        </w:rPr>
        <w:t>、</w:t>
      </w:r>
      <w:r>
        <w:rPr>
          <w:rFonts w:ascii="宋体" w:hAnsi="宋体" w:cs="宋体"/>
          <w:b/>
          <w:color w:val="auto"/>
          <w:sz w:val="24"/>
          <w:szCs w:val="24"/>
          <w:highlight w:val="none"/>
        </w:rPr>
        <w:t>培训团队人员配置等</w:t>
      </w:r>
      <w:r>
        <w:rPr>
          <w:rFonts w:hint="eastAsia" w:ascii="宋体" w:hAnsi="宋体" w:cs="宋体"/>
          <w:b/>
          <w:color w:val="auto"/>
          <w:sz w:val="24"/>
          <w:szCs w:val="24"/>
          <w:highlight w:val="none"/>
        </w:rPr>
        <w:t>内容。</w:t>
      </w:r>
    </w:p>
    <w:p w14:paraId="34586E3E">
      <w:pPr>
        <w:widowControl/>
        <w:snapToGrid w:val="0"/>
        <w:spacing w:line="400" w:lineRule="exact"/>
        <w:jc w:val="left"/>
        <w:rPr>
          <w:rFonts w:ascii="宋体" w:hAnsi="宋体" w:cs="宋体"/>
          <w:b/>
          <w:color w:val="auto"/>
          <w:sz w:val="24"/>
          <w:szCs w:val="24"/>
          <w:highlight w:val="none"/>
        </w:rPr>
      </w:pPr>
    </w:p>
    <w:p w14:paraId="3F8A1A23">
      <w:pPr>
        <w:widowControl/>
        <w:snapToGrid w:val="0"/>
        <w:spacing w:line="400" w:lineRule="exact"/>
        <w:jc w:val="left"/>
        <w:rPr>
          <w:rFonts w:ascii="宋体" w:hAnsi="宋体" w:cs="宋体"/>
          <w:b/>
          <w:color w:val="auto"/>
          <w:sz w:val="24"/>
          <w:szCs w:val="24"/>
          <w:highlight w:val="none"/>
        </w:rPr>
      </w:pPr>
    </w:p>
    <w:p w14:paraId="301993D9">
      <w:pPr>
        <w:widowControl/>
        <w:snapToGrid w:val="0"/>
        <w:spacing w:line="400" w:lineRule="exact"/>
        <w:jc w:val="left"/>
        <w:rPr>
          <w:rFonts w:ascii="宋体" w:hAnsi="宋体" w:cs="宋体"/>
          <w:b/>
          <w:color w:val="auto"/>
          <w:sz w:val="24"/>
          <w:szCs w:val="24"/>
          <w:highlight w:val="none"/>
        </w:rPr>
      </w:pPr>
    </w:p>
    <w:p w14:paraId="6049AB38">
      <w:pPr>
        <w:widowControl/>
        <w:snapToGrid w:val="0"/>
        <w:spacing w:line="400" w:lineRule="exact"/>
        <w:jc w:val="left"/>
        <w:rPr>
          <w:rFonts w:ascii="宋体" w:hAnsi="宋体" w:cs="宋体"/>
          <w:b/>
          <w:color w:val="auto"/>
          <w:sz w:val="24"/>
          <w:szCs w:val="24"/>
          <w:highlight w:val="none"/>
        </w:rPr>
      </w:pPr>
    </w:p>
    <w:p w14:paraId="053A76D0">
      <w:pPr>
        <w:widowControl/>
        <w:snapToGrid w:val="0"/>
        <w:spacing w:line="400" w:lineRule="exact"/>
        <w:jc w:val="left"/>
        <w:rPr>
          <w:rFonts w:ascii="宋体" w:hAnsi="宋体" w:cs="宋体"/>
          <w:b/>
          <w:color w:val="auto"/>
          <w:sz w:val="24"/>
          <w:szCs w:val="24"/>
          <w:highlight w:val="none"/>
        </w:rPr>
      </w:pPr>
    </w:p>
    <w:p w14:paraId="2EECB985">
      <w:pPr>
        <w:widowControl/>
        <w:snapToGrid w:val="0"/>
        <w:spacing w:line="400" w:lineRule="exact"/>
        <w:jc w:val="left"/>
        <w:rPr>
          <w:rFonts w:ascii="宋体" w:hAnsi="宋体" w:cs="宋体"/>
          <w:b/>
          <w:color w:val="auto"/>
          <w:sz w:val="24"/>
          <w:szCs w:val="24"/>
          <w:highlight w:val="none"/>
        </w:rPr>
      </w:pPr>
    </w:p>
    <w:p w14:paraId="4A95E062">
      <w:pPr>
        <w:widowControl/>
        <w:snapToGrid w:val="0"/>
        <w:spacing w:line="400" w:lineRule="exact"/>
        <w:jc w:val="left"/>
        <w:rPr>
          <w:rFonts w:ascii="宋体" w:hAnsi="宋体" w:cs="宋体"/>
          <w:b/>
          <w:color w:val="auto"/>
          <w:sz w:val="24"/>
          <w:szCs w:val="24"/>
          <w:highlight w:val="none"/>
        </w:rPr>
      </w:pPr>
    </w:p>
    <w:p w14:paraId="72CDEADD">
      <w:pPr>
        <w:widowControl/>
        <w:snapToGrid w:val="0"/>
        <w:spacing w:line="400" w:lineRule="exact"/>
        <w:jc w:val="left"/>
        <w:rPr>
          <w:rFonts w:ascii="宋体" w:hAnsi="宋体" w:cs="宋体"/>
          <w:b/>
          <w:color w:val="auto"/>
          <w:sz w:val="24"/>
          <w:szCs w:val="24"/>
          <w:highlight w:val="none"/>
        </w:rPr>
      </w:pPr>
    </w:p>
    <w:p w14:paraId="60B80344">
      <w:pPr>
        <w:widowControl/>
        <w:snapToGrid w:val="0"/>
        <w:spacing w:line="400" w:lineRule="exact"/>
        <w:jc w:val="left"/>
        <w:rPr>
          <w:rFonts w:ascii="宋体" w:hAnsi="宋体" w:cs="宋体"/>
          <w:b/>
          <w:color w:val="auto"/>
          <w:sz w:val="24"/>
          <w:szCs w:val="24"/>
          <w:highlight w:val="none"/>
        </w:rPr>
      </w:pPr>
    </w:p>
    <w:p w14:paraId="0E621F99">
      <w:pPr>
        <w:widowControl/>
        <w:snapToGrid w:val="0"/>
        <w:spacing w:line="400" w:lineRule="exact"/>
        <w:jc w:val="left"/>
        <w:rPr>
          <w:rFonts w:ascii="宋体" w:hAnsi="宋体" w:cs="宋体"/>
          <w:b/>
          <w:color w:val="auto"/>
          <w:sz w:val="24"/>
          <w:szCs w:val="24"/>
          <w:highlight w:val="none"/>
        </w:rPr>
      </w:pPr>
    </w:p>
    <w:p w14:paraId="6562E687">
      <w:pPr>
        <w:widowControl/>
        <w:snapToGrid w:val="0"/>
        <w:spacing w:line="400" w:lineRule="exact"/>
        <w:jc w:val="left"/>
        <w:rPr>
          <w:rFonts w:ascii="宋体" w:hAnsi="宋体" w:cs="宋体"/>
          <w:b/>
          <w:color w:val="auto"/>
          <w:sz w:val="24"/>
          <w:szCs w:val="24"/>
          <w:highlight w:val="none"/>
        </w:rPr>
      </w:pPr>
    </w:p>
    <w:p w14:paraId="1E32C0DB">
      <w:pPr>
        <w:widowControl/>
        <w:snapToGrid w:val="0"/>
        <w:spacing w:line="400" w:lineRule="exact"/>
        <w:jc w:val="left"/>
        <w:rPr>
          <w:rFonts w:ascii="宋体" w:hAnsi="宋体" w:cs="宋体"/>
          <w:b/>
          <w:color w:val="auto"/>
          <w:sz w:val="24"/>
          <w:szCs w:val="24"/>
          <w:highlight w:val="none"/>
        </w:rPr>
      </w:pPr>
    </w:p>
    <w:p w14:paraId="1C1D560C">
      <w:pPr>
        <w:widowControl/>
        <w:snapToGrid w:val="0"/>
        <w:spacing w:line="400" w:lineRule="exact"/>
        <w:jc w:val="left"/>
        <w:rPr>
          <w:rFonts w:ascii="宋体" w:hAnsi="宋体" w:cs="宋体"/>
          <w:b/>
          <w:color w:val="auto"/>
          <w:sz w:val="24"/>
          <w:szCs w:val="24"/>
          <w:highlight w:val="none"/>
        </w:rPr>
      </w:pPr>
    </w:p>
    <w:p w14:paraId="2C7ABE96">
      <w:pPr>
        <w:widowControl/>
        <w:snapToGrid w:val="0"/>
        <w:spacing w:line="400" w:lineRule="exact"/>
        <w:jc w:val="left"/>
        <w:rPr>
          <w:rFonts w:ascii="宋体" w:hAnsi="宋体" w:cs="宋体"/>
          <w:b/>
          <w:color w:val="auto"/>
          <w:sz w:val="24"/>
          <w:szCs w:val="24"/>
          <w:highlight w:val="none"/>
        </w:rPr>
      </w:pPr>
    </w:p>
    <w:p w14:paraId="7BEE4B1E">
      <w:pPr>
        <w:widowControl/>
        <w:snapToGrid w:val="0"/>
        <w:spacing w:line="400" w:lineRule="exact"/>
        <w:jc w:val="left"/>
        <w:rPr>
          <w:rFonts w:ascii="宋体" w:hAnsi="宋体" w:cs="宋体"/>
          <w:b/>
          <w:color w:val="auto"/>
          <w:sz w:val="24"/>
          <w:szCs w:val="24"/>
          <w:highlight w:val="none"/>
        </w:rPr>
      </w:pPr>
    </w:p>
    <w:p w14:paraId="7FC4BACD">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393F42E2">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20、针对本项目的售后服务方案：包括（但不限于）售后服务承诺、服务响应方案、备件（易耗品）供应方案（含备件清单及价格）、服务人员配备、故障响应措施、质保外服务措施等内容（格式自拟）</w:t>
      </w:r>
    </w:p>
    <w:p w14:paraId="4AF5AE0B">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14:paraId="4E22C2F2">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14:paraId="269DADC9">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项目编号：</w:t>
      </w:r>
    </w:p>
    <w:tbl>
      <w:tblPr>
        <w:tblStyle w:val="39"/>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14:paraId="1C63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0A20B2C4">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14:paraId="2376CC44">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1F8715FC">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14:paraId="4AFA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2452052D">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14:paraId="799D5780">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2432C6A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1D00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14:paraId="18A9996E">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14:paraId="3D6FC796">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44888EE">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14:paraId="6DB9D837">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0DA8BA4F">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14:paraId="3E07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2703CA81">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14:paraId="577C9173">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60E4D9C4">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14:paraId="4683311C">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1FFD125">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1BAE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848B8B6">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14:paraId="58E2EB5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146C5968">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2449A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14:paraId="152DD953">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14:paraId="1AF6FABB">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14:paraId="0FFD868B">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14:paraId="0C1F353A">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14:paraId="16232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8359F79">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14:paraId="7C33AF6F">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65DE244B">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14:paraId="7EE5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5E49FBE3">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14:paraId="57511A7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5D72243F">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0D39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40E891D0">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14:paraId="352E9E5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587C8DBF">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14:paraId="3D56D00C">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46783945">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14:paraId="42FA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14:paraId="028EB770">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14:paraId="381FFAE9">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3DE99177">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14:paraId="447E6463">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FDE01DB">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14:paraId="0D7FDE76">
      <w:pPr>
        <w:snapToGrid w:val="0"/>
        <w:spacing w:line="400" w:lineRule="exact"/>
        <w:jc w:val="left"/>
        <w:rPr>
          <w:rFonts w:asciiTheme="minorEastAsia" w:hAnsiTheme="minorEastAsia" w:eastAsiaTheme="minorEastAsia" w:cstheme="minorEastAsia"/>
          <w:color w:val="auto"/>
          <w:kern w:val="0"/>
          <w:sz w:val="24"/>
          <w:szCs w:val="24"/>
          <w:highlight w:val="none"/>
        </w:rPr>
      </w:pPr>
    </w:p>
    <w:p w14:paraId="7D861959">
      <w:pPr>
        <w:pStyle w:val="200"/>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1C876C49">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14:paraId="1251F73A">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14:paraId="6D862337">
      <w:pPr>
        <w:widowControl/>
        <w:snapToGrid w:val="0"/>
        <w:spacing w:line="400" w:lineRule="exact"/>
        <w:jc w:val="left"/>
        <w:rPr>
          <w:rFonts w:ascii="宋体" w:hAnsi="宋体" w:cs="宋体"/>
          <w:b/>
          <w:color w:val="auto"/>
          <w:sz w:val="24"/>
          <w:szCs w:val="24"/>
          <w:highlight w:val="none"/>
        </w:rPr>
      </w:pPr>
    </w:p>
    <w:p w14:paraId="4E01E932">
      <w:pPr>
        <w:pStyle w:val="30"/>
        <w:rPr>
          <w:rFonts w:ascii="宋体" w:hAnsi="宋体" w:cs="宋体"/>
          <w:b/>
          <w:color w:val="auto"/>
          <w:sz w:val="24"/>
          <w:szCs w:val="24"/>
          <w:highlight w:val="none"/>
        </w:rPr>
      </w:pPr>
    </w:p>
    <w:p w14:paraId="3A5BF284">
      <w:pPr>
        <w:pStyle w:val="30"/>
        <w:rPr>
          <w:rFonts w:ascii="宋体" w:hAnsi="宋体" w:cs="宋体"/>
          <w:b/>
          <w:color w:val="auto"/>
          <w:sz w:val="24"/>
          <w:szCs w:val="24"/>
          <w:highlight w:val="none"/>
        </w:rPr>
      </w:pPr>
    </w:p>
    <w:p w14:paraId="74737323">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0C1506F8">
      <w:pP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备件（及易耗品）清单</w:t>
      </w:r>
    </w:p>
    <w:p w14:paraId="1DB9184F">
      <w:pPr>
        <w:pStyle w:val="22"/>
        <w:rPr>
          <w:rFonts w:ascii="仿宋" w:hAnsi="仿宋" w:eastAsia="仿宋" w:cs="仿宋"/>
          <w:color w:val="auto"/>
          <w:sz w:val="24"/>
          <w:szCs w:val="24"/>
          <w:highlight w:val="none"/>
        </w:rPr>
      </w:pPr>
    </w:p>
    <w:tbl>
      <w:tblPr>
        <w:tblStyle w:val="39"/>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515"/>
        <w:gridCol w:w="1742"/>
        <w:gridCol w:w="855"/>
        <w:gridCol w:w="839"/>
        <w:gridCol w:w="1048"/>
        <w:gridCol w:w="1210"/>
        <w:gridCol w:w="1210"/>
      </w:tblGrid>
      <w:tr w14:paraId="5DA0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0E65BB9">
            <w:pPr>
              <w:pStyle w:val="22"/>
              <w:spacing w:line="240" w:lineRule="atLeast"/>
              <w:rPr>
                <w:rFonts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序号</w:t>
            </w:r>
          </w:p>
        </w:tc>
        <w:tc>
          <w:tcPr>
            <w:tcW w:w="1515" w:type="dxa"/>
            <w:tcBorders>
              <w:left w:val="single" w:color="auto" w:sz="4" w:space="0"/>
            </w:tcBorders>
            <w:vAlign w:val="center"/>
          </w:tcPr>
          <w:p w14:paraId="0059BDEC">
            <w:pPr>
              <w:pStyle w:val="22"/>
              <w:spacing w:line="240" w:lineRule="atLeast"/>
              <w:jc w:val="center"/>
              <w:rPr>
                <w:rFonts w:asciiTheme="minorEastAsia" w:hAnsiTheme="minorEastAsia" w:eastAsiaTheme="minorEastAsia" w:cstheme="minorEastAsia"/>
                <w:color w:val="auto"/>
                <w:position w:val="-36"/>
                <w:sz w:val="24"/>
                <w:szCs w:val="24"/>
                <w:highlight w:val="none"/>
              </w:rPr>
            </w:pPr>
            <w:r>
              <w:rPr>
                <w:rFonts w:hint="eastAsia" w:asciiTheme="minorEastAsia" w:hAnsiTheme="minorEastAsia" w:eastAsiaTheme="minorEastAsia" w:cstheme="minorEastAsia"/>
                <w:color w:val="auto"/>
                <w:position w:val="-24"/>
                <w:sz w:val="24"/>
                <w:szCs w:val="24"/>
                <w:highlight w:val="none"/>
              </w:rPr>
              <w:t>名称、规格型号、品牌</w:t>
            </w:r>
          </w:p>
        </w:tc>
        <w:tc>
          <w:tcPr>
            <w:tcW w:w="1742" w:type="dxa"/>
            <w:vAlign w:val="center"/>
          </w:tcPr>
          <w:p w14:paraId="0DD7C7ED">
            <w:pPr>
              <w:pStyle w:val="22"/>
              <w:spacing w:line="240" w:lineRule="atLeast"/>
              <w:jc w:val="center"/>
              <w:rPr>
                <w:rFonts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制造商、原产地、国别</w:t>
            </w:r>
          </w:p>
        </w:tc>
        <w:tc>
          <w:tcPr>
            <w:tcW w:w="855" w:type="dxa"/>
            <w:vAlign w:val="center"/>
          </w:tcPr>
          <w:p w14:paraId="2A1D83A0">
            <w:pPr>
              <w:pStyle w:val="22"/>
              <w:spacing w:line="240" w:lineRule="atLeast"/>
              <w:jc w:val="center"/>
              <w:rPr>
                <w:rFonts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单位</w:t>
            </w:r>
          </w:p>
        </w:tc>
        <w:tc>
          <w:tcPr>
            <w:tcW w:w="839" w:type="dxa"/>
            <w:vAlign w:val="center"/>
          </w:tcPr>
          <w:p w14:paraId="494F5FA2">
            <w:pPr>
              <w:pStyle w:val="22"/>
              <w:spacing w:line="240" w:lineRule="atLeast"/>
              <w:jc w:val="center"/>
              <w:rPr>
                <w:rFonts w:asciiTheme="minorEastAsia" w:hAnsiTheme="minorEastAsia" w:eastAsiaTheme="minorEastAsia" w:cstheme="minorEastAsia"/>
                <w:color w:val="auto"/>
                <w:position w:val="-24"/>
                <w:sz w:val="24"/>
                <w:szCs w:val="24"/>
                <w:highlight w:val="none"/>
              </w:rPr>
            </w:pPr>
            <w:r>
              <w:rPr>
                <w:rFonts w:hint="eastAsia" w:asciiTheme="minorEastAsia" w:hAnsiTheme="minorEastAsia" w:eastAsiaTheme="minorEastAsia" w:cstheme="minorEastAsia"/>
                <w:color w:val="auto"/>
                <w:position w:val="-24"/>
                <w:sz w:val="24"/>
                <w:szCs w:val="24"/>
                <w:highlight w:val="none"/>
              </w:rPr>
              <w:t>数量</w:t>
            </w:r>
          </w:p>
        </w:tc>
        <w:tc>
          <w:tcPr>
            <w:tcW w:w="1048" w:type="dxa"/>
            <w:vAlign w:val="center"/>
          </w:tcPr>
          <w:p w14:paraId="051492FC">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w:t>
            </w:r>
          </w:p>
          <w:p w14:paraId="01578BD1">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（元）</w:t>
            </w:r>
          </w:p>
        </w:tc>
        <w:tc>
          <w:tcPr>
            <w:tcW w:w="1210" w:type="dxa"/>
            <w:vAlign w:val="center"/>
          </w:tcPr>
          <w:p w14:paraId="169B823B">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合价</w:t>
            </w:r>
          </w:p>
          <w:p w14:paraId="66DFD8D7">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（万元）</w:t>
            </w:r>
          </w:p>
        </w:tc>
        <w:tc>
          <w:tcPr>
            <w:tcW w:w="1210" w:type="dxa"/>
            <w:vAlign w:val="center"/>
          </w:tcPr>
          <w:p w14:paraId="348E996B">
            <w:pPr>
              <w:pStyle w:val="22"/>
              <w:spacing w:line="240" w:lineRule="atLeas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331E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Borders>
              <w:top w:val="single" w:color="auto" w:sz="4" w:space="0"/>
            </w:tcBorders>
          </w:tcPr>
          <w:p w14:paraId="6EEF805E">
            <w:pPr>
              <w:pStyle w:val="22"/>
              <w:rPr>
                <w:rFonts w:asciiTheme="minorEastAsia" w:hAnsiTheme="minorEastAsia" w:eastAsiaTheme="minorEastAsia" w:cstheme="minorEastAsia"/>
                <w:color w:val="auto"/>
                <w:sz w:val="24"/>
                <w:szCs w:val="24"/>
                <w:highlight w:val="none"/>
              </w:rPr>
            </w:pPr>
          </w:p>
        </w:tc>
        <w:tc>
          <w:tcPr>
            <w:tcW w:w="1515" w:type="dxa"/>
          </w:tcPr>
          <w:p w14:paraId="751C7A40">
            <w:pPr>
              <w:pStyle w:val="22"/>
              <w:rPr>
                <w:rFonts w:asciiTheme="minorEastAsia" w:hAnsiTheme="minorEastAsia" w:eastAsiaTheme="minorEastAsia" w:cstheme="minorEastAsia"/>
                <w:color w:val="auto"/>
                <w:sz w:val="24"/>
                <w:szCs w:val="24"/>
                <w:highlight w:val="none"/>
              </w:rPr>
            </w:pPr>
          </w:p>
        </w:tc>
        <w:tc>
          <w:tcPr>
            <w:tcW w:w="1742" w:type="dxa"/>
          </w:tcPr>
          <w:p w14:paraId="608ADCDD">
            <w:pPr>
              <w:pStyle w:val="22"/>
              <w:rPr>
                <w:rFonts w:asciiTheme="minorEastAsia" w:hAnsiTheme="minorEastAsia" w:eastAsiaTheme="minorEastAsia" w:cstheme="minorEastAsia"/>
                <w:color w:val="auto"/>
                <w:sz w:val="24"/>
                <w:szCs w:val="24"/>
                <w:highlight w:val="none"/>
              </w:rPr>
            </w:pPr>
          </w:p>
        </w:tc>
        <w:tc>
          <w:tcPr>
            <w:tcW w:w="855" w:type="dxa"/>
          </w:tcPr>
          <w:p w14:paraId="4A47EE9D">
            <w:pPr>
              <w:pStyle w:val="22"/>
              <w:rPr>
                <w:rFonts w:asciiTheme="minorEastAsia" w:hAnsiTheme="minorEastAsia" w:eastAsiaTheme="minorEastAsia" w:cstheme="minorEastAsia"/>
                <w:color w:val="auto"/>
                <w:sz w:val="24"/>
                <w:szCs w:val="24"/>
                <w:highlight w:val="none"/>
              </w:rPr>
            </w:pPr>
          </w:p>
        </w:tc>
        <w:tc>
          <w:tcPr>
            <w:tcW w:w="839" w:type="dxa"/>
          </w:tcPr>
          <w:p w14:paraId="4499DF31">
            <w:pPr>
              <w:pStyle w:val="22"/>
              <w:rPr>
                <w:rFonts w:asciiTheme="minorEastAsia" w:hAnsiTheme="minorEastAsia" w:eastAsiaTheme="minorEastAsia" w:cstheme="minorEastAsia"/>
                <w:color w:val="auto"/>
                <w:sz w:val="24"/>
                <w:szCs w:val="24"/>
                <w:highlight w:val="none"/>
              </w:rPr>
            </w:pPr>
          </w:p>
        </w:tc>
        <w:tc>
          <w:tcPr>
            <w:tcW w:w="1048" w:type="dxa"/>
          </w:tcPr>
          <w:p w14:paraId="5E1432B1">
            <w:pPr>
              <w:pStyle w:val="22"/>
              <w:rPr>
                <w:rFonts w:asciiTheme="minorEastAsia" w:hAnsiTheme="minorEastAsia" w:eastAsiaTheme="minorEastAsia" w:cstheme="minorEastAsia"/>
                <w:color w:val="auto"/>
                <w:sz w:val="24"/>
                <w:szCs w:val="24"/>
                <w:highlight w:val="none"/>
              </w:rPr>
            </w:pPr>
          </w:p>
        </w:tc>
        <w:tc>
          <w:tcPr>
            <w:tcW w:w="1210" w:type="dxa"/>
          </w:tcPr>
          <w:p w14:paraId="47E98C9D">
            <w:pPr>
              <w:pStyle w:val="22"/>
              <w:rPr>
                <w:rFonts w:asciiTheme="minorEastAsia" w:hAnsiTheme="minorEastAsia" w:eastAsiaTheme="minorEastAsia" w:cstheme="minorEastAsia"/>
                <w:color w:val="auto"/>
                <w:sz w:val="24"/>
                <w:szCs w:val="24"/>
                <w:highlight w:val="none"/>
              </w:rPr>
            </w:pPr>
          </w:p>
        </w:tc>
        <w:tc>
          <w:tcPr>
            <w:tcW w:w="1210" w:type="dxa"/>
          </w:tcPr>
          <w:p w14:paraId="65C4347B">
            <w:pPr>
              <w:pStyle w:val="22"/>
              <w:rPr>
                <w:rFonts w:asciiTheme="minorEastAsia" w:hAnsiTheme="minorEastAsia" w:eastAsiaTheme="minorEastAsia" w:cstheme="minorEastAsia"/>
                <w:color w:val="auto"/>
                <w:sz w:val="24"/>
                <w:szCs w:val="24"/>
                <w:highlight w:val="none"/>
              </w:rPr>
            </w:pPr>
          </w:p>
        </w:tc>
      </w:tr>
      <w:tr w14:paraId="7E71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2A2B64FF">
            <w:pPr>
              <w:pStyle w:val="22"/>
              <w:rPr>
                <w:rFonts w:asciiTheme="minorEastAsia" w:hAnsiTheme="minorEastAsia" w:eastAsiaTheme="minorEastAsia" w:cstheme="minorEastAsia"/>
                <w:color w:val="auto"/>
                <w:sz w:val="24"/>
                <w:szCs w:val="24"/>
                <w:highlight w:val="none"/>
              </w:rPr>
            </w:pPr>
          </w:p>
        </w:tc>
        <w:tc>
          <w:tcPr>
            <w:tcW w:w="1515" w:type="dxa"/>
          </w:tcPr>
          <w:p w14:paraId="5DCE5544">
            <w:pPr>
              <w:pStyle w:val="22"/>
              <w:rPr>
                <w:rFonts w:asciiTheme="minorEastAsia" w:hAnsiTheme="minorEastAsia" w:eastAsiaTheme="minorEastAsia" w:cstheme="minorEastAsia"/>
                <w:color w:val="auto"/>
                <w:sz w:val="24"/>
                <w:szCs w:val="24"/>
                <w:highlight w:val="none"/>
              </w:rPr>
            </w:pPr>
          </w:p>
        </w:tc>
        <w:tc>
          <w:tcPr>
            <w:tcW w:w="1742" w:type="dxa"/>
          </w:tcPr>
          <w:p w14:paraId="4FA9E83F">
            <w:pPr>
              <w:pStyle w:val="22"/>
              <w:rPr>
                <w:rFonts w:asciiTheme="minorEastAsia" w:hAnsiTheme="minorEastAsia" w:eastAsiaTheme="minorEastAsia" w:cstheme="minorEastAsia"/>
                <w:color w:val="auto"/>
                <w:sz w:val="24"/>
                <w:szCs w:val="24"/>
                <w:highlight w:val="none"/>
              </w:rPr>
            </w:pPr>
          </w:p>
        </w:tc>
        <w:tc>
          <w:tcPr>
            <w:tcW w:w="855" w:type="dxa"/>
          </w:tcPr>
          <w:p w14:paraId="443F8ADC">
            <w:pPr>
              <w:pStyle w:val="22"/>
              <w:rPr>
                <w:rFonts w:asciiTheme="minorEastAsia" w:hAnsiTheme="minorEastAsia" w:eastAsiaTheme="minorEastAsia" w:cstheme="minorEastAsia"/>
                <w:color w:val="auto"/>
                <w:sz w:val="24"/>
                <w:szCs w:val="24"/>
                <w:highlight w:val="none"/>
              </w:rPr>
            </w:pPr>
          </w:p>
        </w:tc>
        <w:tc>
          <w:tcPr>
            <w:tcW w:w="839" w:type="dxa"/>
          </w:tcPr>
          <w:p w14:paraId="54BEE8D2">
            <w:pPr>
              <w:pStyle w:val="22"/>
              <w:rPr>
                <w:rFonts w:asciiTheme="minorEastAsia" w:hAnsiTheme="minorEastAsia" w:eastAsiaTheme="minorEastAsia" w:cstheme="minorEastAsia"/>
                <w:color w:val="auto"/>
                <w:sz w:val="24"/>
                <w:szCs w:val="24"/>
                <w:highlight w:val="none"/>
              </w:rPr>
            </w:pPr>
          </w:p>
        </w:tc>
        <w:tc>
          <w:tcPr>
            <w:tcW w:w="1048" w:type="dxa"/>
          </w:tcPr>
          <w:p w14:paraId="3AF6A465">
            <w:pPr>
              <w:pStyle w:val="22"/>
              <w:rPr>
                <w:rFonts w:asciiTheme="minorEastAsia" w:hAnsiTheme="minorEastAsia" w:eastAsiaTheme="minorEastAsia" w:cstheme="minorEastAsia"/>
                <w:color w:val="auto"/>
                <w:sz w:val="24"/>
                <w:szCs w:val="24"/>
                <w:highlight w:val="none"/>
              </w:rPr>
            </w:pPr>
          </w:p>
        </w:tc>
        <w:tc>
          <w:tcPr>
            <w:tcW w:w="1210" w:type="dxa"/>
          </w:tcPr>
          <w:p w14:paraId="230D83F2">
            <w:pPr>
              <w:pStyle w:val="22"/>
              <w:rPr>
                <w:rFonts w:asciiTheme="minorEastAsia" w:hAnsiTheme="minorEastAsia" w:eastAsiaTheme="minorEastAsia" w:cstheme="minorEastAsia"/>
                <w:color w:val="auto"/>
                <w:sz w:val="24"/>
                <w:szCs w:val="24"/>
                <w:highlight w:val="none"/>
              </w:rPr>
            </w:pPr>
          </w:p>
        </w:tc>
        <w:tc>
          <w:tcPr>
            <w:tcW w:w="1210" w:type="dxa"/>
          </w:tcPr>
          <w:p w14:paraId="588B98CE">
            <w:pPr>
              <w:pStyle w:val="22"/>
              <w:rPr>
                <w:rFonts w:asciiTheme="minorEastAsia" w:hAnsiTheme="minorEastAsia" w:eastAsiaTheme="minorEastAsia" w:cstheme="minorEastAsia"/>
                <w:color w:val="auto"/>
                <w:sz w:val="24"/>
                <w:szCs w:val="24"/>
                <w:highlight w:val="none"/>
              </w:rPr>
            </w:pPr>
          </w:p>
        </w:tc>
      </w:tr>
      <w:tr w14:paraId="39C5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745EAC30">
            <w:pPr>
              <w:pStyle w:val="22"/>
              <w:rPr>
                <w:rFonts w:asciiTheme="minorEastAsia" w:hAnsiTheme="minorEastAsia" w:eastAsiaTheme="minorEastAsia" w:cstheme="minorEastAsia"/>
                <w:color w:val="auto"/>
                <w:sz w:val="24"/>
                <w:szCs w:val="24"/>
                <w:highlight w:val="none"/>
              </w:rPr>
            </w:pPr>
          </w:p>
        </w:tc>
        <w:tc>
          <w:tcPr>
            <w:tcW w:w="1515" w:type="dxa"/>
          </w:tcPr>
          <w:p w14:paraId="6F00AFBC">
            <w:pPr>
              <w:pStyle w:val="22"/>
              <w:rPr>
                <w:rFonts w:asciiTheme="minorEastAsia" w:hAnsiTheme="minorEastAsia" w:eastAsiaTheme="minorEastAsia" w:cstheme="minorEastAsia"/>
                <w:color w:val="auto"/>
                <w:sz w:val="24"/>
                <w:szCs w:val="24"/>
                <w:highlight w:val="none"/>
              </w:rPr>
            </w:pPr>
          </w:p>
        </w:tc>
        <w:tc>
          <w:tcPr>
            <w:tcW w:w="1742" w:type="dxa"/>
          </w:tcPr>
          <w:p w14:paraId="0862BAB5">
            <w:pPr>
              <w:pStyle w:val="22"/>
              <w:rPr>
                <w:rFonts w:asciiTheme="minorEastAsia" w:hAnsiTheme="minorEastAsia" w:eastAsiaTheme="minorEastAsia" w:cstheme="minorEastAsia"/>
                <w:color w:val="auto"/>
                <w:sz w:val="24"/>
                <w:szCs w:val="24"/>
                <w:highlight w:val="none"/>
              </w:rPr>
            </w:pPr>
          </w:p>
        </w:tc>
        <w:tc>
          <w:tcPr>
            <w:tcW w:w="855" w:type="dxa"/>
          </w:tcPr>
          <w:p w14:paraId="4EA16B86">
            <w:pPr>
              <w:pStyle w:val="22"/>
              <w:rPr>
                <w:rFonts w:asciiTheme="minorEastAsia" w:hAnsiTheme="minorEastAsia" w:eastAsiaTheme="minorEastAsia" w:cstheme="minorEastAsia"/>
                <w:color w:val="auto"/>
                <w:sz w:val="24"/>
                <w:szCs w:val="24"/>
                <w:highlight w:val="none"/>
              </w:rPr>
            </w:pPr>
          </w:p>
        </w:tc>
        <w:tc>
          <w:tcPr>
            <w:tcW w:w="839" w:type="dxa"/>
          </w:tcPr>
          <w:p w14:paraId="21A6CF3F">
            <w:pPr>
              <w:pStyle w:val="22"/>
              <w:rPr>
                <w:rFonts w:asciiTheme="minorEastAsia" w:hAnsiTheme="minorEastAsia" w:eastAsiaTheme="minorEastAsia" w:cstheme="minorEastAsia"/>
                <w:color w:val="auto"/>
                <w:sz w:val="24"/>
                <w:szCs w:val="24"/>
                <w:highlight w:val="none"/>
              </w:rPr>
            </w:pPr>
          </w:p>
        </w:tc>
        <w:tc>
          <w:tcPr>
            <w:tcW w:w="1048" w:type="dxa"/>
          </w:tcPr>
          <w:p w14:paraId="17695604">
            <w:pPr>
              <w:pStyle w:val="22"/>
              <w:rPr>
                <w:rFonts w:asciiTheme="minorEastAsia" w:hAnsiTheme="minorEastAsia" w:eastAsiaTheme="minorEastAsia" w:cstheme="minorEastAsia"/>
                <w:color w:val="auto"/>
                <w:sz w:val="24"/>
                <w:szCs w:val="24"/>
                <w:highlight w:val="none"/>
              </w:rPr>
            </w:pPr>
          </w:p>
        </w:tc>
        <w:tc>
          <w:tcPr>
            <w:tcW w:w="1210" w:type="dxa"/>
          </w:tcPr>
          <w:p w14:paraId="3F159EC9">
            <w:pPr>
              <w:pStyle w:val="22"/>
              <w:rPr>
                <w:rFonts w:asciiTheme="minorEastAsia" w:hAnsiTheme="minorEastAsia" w:eastAsiaTheme="minorEastAsia" w:cstheme="minorEastAsia"/>
                <w:color w:val="auto"/>
                <w:sz w:val="24"/>
                <w:szCs w:val="24"/>
                <w:highlight w:val="none"/>
              </w:rPr>
            </w:pPr>
          </w:p>
        </w:tc>
        <w:tc>
          <w:tcPr>
            <w:tcW w:w="1210" w:type="dxa"/>
          </w:tcPr>
          <w:p w14:paraId="3B795BDD">
            <w:pPr>
              <w:pStyle w:val="22"/>
              <w:rPr>
                <w:rFonts w:asciiTheme="minorEastAsia" w:hAnsiTheme="minorEastAsia" w:eastAsiaTheme="minorEastAsia" w:cstheme="minorEastAsia"/>
                <w:color w:val="auto"/>
                <w:sz w:val="24"/>
                <w:szCs w:val="24"/>
                <w:highlight w:val="none"/>
              </w:rPr>
            </w:pPr>
          </w:p>
        </w:tc>
      </w:tr>
      <w:tr w14:paraId="6D10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7A4BE7FA">
            <w:pPr>
              <w:pStyle w:val="22"/>
              <w:rPr>
                <w:rFonts w:asciiTheme="minorEastAsia" w:hAnsiTheme="minorEastAsia" w:eastAsiaTheme="minorEastAsia" w:cstheme="minorEastAsia"/>
                <w:color w:val="auto"/>
                <w:sz w:val="24"/>
                <w:szCs w:val="24"/>
                <w:highlight w:val="none"/>
              </w:rPr>
            </w:pPr>
          </w:p>
        </w:tc>
        <w:tc>
          <w:tcPr>
            <w:tcW w:w="1515" w:type="dxa"/>
          </w:tcPr>
          <w:p w14:paraId="4D0F6DC9">
            <w:pPr>
              <w:pStyle w:val="22"/>
              <w:rPr>
                <w:rFonts w:asciiTheme="minorEastAsia" w:hAnsiTheme="minorEastAsia" w:eastAsiaTheme="minorEastAsia" w:cstheme="minorEastAsia"/>
                <w:color w:val="auto"/>
                <w:sz w:val="24"/>
                <w:szCs w:val="24"/>
                <w:highlight w:val="none"/>
              </w:rPr>
            </w:pPr>
          </w:p>
        </w:tc>
        <w:tc>
          <w:tcPr>
            <w:tcW w:w="1742" w:type="dxa"/>
          </w:tcPr>
          <w:p w14:paraId="63F39D8C">
            <w:pPr>
              <w:pStyle w:val="22"/>
              <w:rPr>
                <w:rFonts w:asciiTheme="minorEastAsia" w:hAnsiTheme="minorEastAsia" w:eastAsiaTheme="minorEastAsia" w:cstheme="minorEastAsia"/>
                <w:color w:val="auto"/>
                <w:sz w:val="24"/>
                <w:szCs w:val="24"/>
                <w:highlight w:val="none"/>
              </w:rPr>
            </w:pPr>
          </w:p>
        </w:tc>
        <w:tc>
          <w:tcPr>
            <w:tcW w:w="855" w:type="dxa"/>
          </w:tcPr>
          <w:p w14:paraId="13EFE26C">
            <w:pPr>
              <w:pStyle w:val="22"/>
              <w:rPr>
                <w:rFonts w:asciiTheme="minorEastAsia" w:hAnsiTheme="minorEastAsia" w:eastAsiaTheme="minorEastAsia" w:cstheme="minorEastAsia"/>
                <w:color w:val="auto"/>
                <w:sz w:val="24"/>
                <w:szCs w:val="24"/>
                <w:highlight w:val="none"/>
              </w:rPr>
            </w:pPr>
          </w:p>
        </w:tc>
        <w:tc>
          <w:tcPr>
            <w:tcW w:w="839" w:type="dxa"/>
          </w:tcPr>
          <w:p w14:paraId="74CE058C">
            <w:pPr>
              <w:pStyle w:val="22"/>
              <w:rPr>
                <w:rFonts w:asciiTheme="minorEastAsia" w:hAnsiTheme="minorEastAsia" w:eastAsiaTheme="minorEastAsia" w:cstheme="minorEastAsia"/>
                <w:color w:val="auto"/>
                <w:sz w:val="24"/>
                <w:szCs w:val="24"/>
                <w:highlight w:val="none"/>
              </w:rPr>
            </w:pPr>
          </w:p>
        </w:tc>
        <w:tc>
          <w:tcPr>
            <w:tcW w:w="1048" w:type="dxa"/>
          </w:tcPr>
          <w:p w14:paraId="1EB7D488">
            <w:pPr>
              <w:pStyle w:val="22"/>
              <w:rPr>
                <w:rFonts w:asciiTheme="minorEastAsia" w:hAnsiTheme="minorEastAsia" w:eastAsiaTheme="minorEastAsia" w:cstheme="minorEastAsia"/>
                <w:color w:val="auto"/>
                <w:sz w:val="24"/>
                <w:szCs w:val="24"/>
                <w:highlight w:val="none"/>
              </w:rPr>
            </w:pPr>
          </w:p>
        </w:tc>
        <w:tc>
          <w:tcPr>
            <w:tcW w:w="1210" w:type="dxa"/>
          </w:tcPr>
          <w:p w14:paraId="0D6124E0">
            <w:pPr>
              <w:pStyle w:val="22"/>
              <w:rPr>
                <w:rFonts w:asciiTheme="minorEastAsia" w:hAnsiTheme="minorEastAsia" w:eastAsiaTheme="minorEastAsia" w:cstheme="minorEastAsia"/>
                <w:color w:val="auto"/>
                <w:sz w:val="24"/>
                <w:szCs w:val="24"/>
                <w:highlight w:val="none"/>
              </w:rPr>
            </w:pPr>
          </w:p>
        </w:tc>
        <w:tc>
          <w:tcPr>
            <w:tcW w:w="1210" w:type="dxa"/>
          </w:tcPr>
          <w:p w14:paraId="62D05314">
            <w:pPr>
              <w:pStyle w:val="22"/>
              <w:rPr>
                <w:rFonts w:asciiTheme="minorEastAsia" w:hAnsiTheme="minorEastAsia" w:eastAsiaTheme="minorEastAsia" w:cstheme="minorEastAsia"/>
                <w:color w:val="auto"/>
                <w:sz w:val="24"/>
                <w:szCs w:val="24"/>
                <w:highlight w:val="none"/>
              </w:rPr>
            </w:pPr>
          </w:p>
        </w:tc>
      </w:tr>
      <w:tr w14:paraId="747F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1E7B6876">
            <w:pPr>
              <w:pStyle w:val="22"/>
              <w:rPr>
                <w:rFonts w:asciiTheme="minorEastAsia" w:hAnsiTheme="minorEastAsia" w:eastAsiaTheme="minorEastAsia" w:cstheme="minorEastAsia"/>
                <w:color w:val="auto"/>
                <w:sz w:val="24"/>
                <w:szCs w:val="24"/>
                <w:highlight w:val="none"/>
              </w:rPr>
            </w:pPr>
          </w:p>
        </w:tc>
        <w:tc>
          <w:tcPr>
            <w:tcW w:w="1515" w:type="dxa"/>
          </w:tcPr>
          <w:p w14:paraId="7F63283E">
            <w:pPr>
              <w:pStyle w:val="22"/>
              <w:rPr>
                <w:rFonts w:asciiTheme="minorEastAsia" w:hAnsiTheme="minorEastAsia" w:eastAsiaTheme="minorEastAsia" w:cstheme="minorEastAsia"/>
                <w:color w:val="auto"/>
                <w:sz w:val="24"/>
                <w:szCs w:val="24"/>
                <w:highlight w:val="none"/>
              </w:rPr>
            </w:pPr>
          </w:p>
        </w:tc>
        <w:tc>
          <w:tcPr>
            <w:tcW w:w="1742" w:type="dxa"/>
          </w:tcPr>
          <w:p w14:paraId="1A0BC744">
            <w:pPr>
              <w:pStyle w:val="22"/>
              <w:rPr>
                <w:rFonts w:asciiTheme="minorEastAsia" w:hAnsiTheme="minorEastAsia" w:eastAsiaTheme="minorEastAsia" w:cstheme="minorEastAsia"/>
                <w:color w:val="auto"/>
                <w:sz w:val="24"/>
                <w:szCs w:val="24"/>
                <w:highlight w:val="none"/>
              </w:rPr>
            </w:pPr>
          </w:p>
        </w:tc>
        <w:tc>
          <w:tcPr>
            <w:tcW w:w="855" w:type="dxa"/>
          </w:tcPr>
          <w:p w14:paraId="50E82F2E">
            <w:pPr>
              <w:pStyle w:val="22"/>
              <w:rPr>
                <w:rFonts w:asciiTheme="minorEastAsia" w:hAnsiTheme="minorEastAsia" w:eastAsiaTheme="minorEastAsia" w:cstheme="minorEastAsia"/>
                <w:color w:val="auto"/>
                <w:sz w:val="24"/>
                <w:szCs w:val="24"/>
                <w:highlight w:val="none"/>
              </w:rPr>
            </w:pPr>
          </w:p>
        </w:tc>
        <w:tc>
          <w:tcPr>
            <w:tcW w:w="839" w:type="dxa"/>
          </w:tcPr>
          <w:p w14:paraId="7666C961">
            <w:pPr>
              <w:pStyle w:val="22"/>
              <w:rPr>
                <w:rFonts w:asciiTheme="minorEastAsia" w:hAnsiTheme="minorEastAsia" w:eastAsiaTheme="minorEastAsia" w:cstheme="minorEastAsia"/>
                <w:color w:val="auto"/>
                <w:sz w:val="24"/>
                <w:szCs w:val="24"/>
                <w:highlight w:val="none"/>
              </w:rPr>
            </w:pPr>
          </w:p>
        </w:tc>
        <w:tc>
          <w:tcPr>
            <w:tcW w:w="1048" w:type="dxa"/>
          </w:tcPr>
          <w:p w14:paraId="60488DFD">
            <w:pPr>
              <w:pStyle w:val="22"/>
              <w:rPr>
                <w:rFonts w:asciiTheme="minorEastAsia" w:hAnsiTheme="minorEastAsia" w:eastAsiaTheme="minorEastAsia" w:cstheme="minorEastAsia"/>
                <w:color w:val="auto"/>
                <w:sz w:val="24"/>
                <w:szCs w:val="24"/>
                <w:highlight w:val="none"/>
              </w:rPr>
            </w:pPr>
          </w:p>
        </w:tc>
        <w:tc>
          <w:tcPr>
            <w:tcW w:w="1210" w:type="dxa"/>
          </w:tcPr>
          <w:p w14:paraId="5A7C1792">
            <w:pPr>
              <w:pStyle w:val="22"/>
              <w:rPr>
                <w:rFonts w:asciiTheme="minorEastAsia" w:hAnsiTheme="minorEastAsia" w:eastAsiaTheme="minorEastAsia" w:cstheme="minorEastAsia"/>
                <w:color w:val="auto"/>
                <w:sz w:val="24"/>
                <w:szCs w:val="24"/>
                <w:highlight w:val="none"/>
              </w:rPr>
            </w:pPr>
          </w:p>
        </w:tc>
        <w:tc>
          <w:tcPr>
            <w:tcW w:w="1210" w:type="dxa"/>
          </w:tcPr>
          <w:p w14:paraId="65A1351F">
            <w:pPr>
              <w:pStyle w:val="22"/>
              <w:rPr>
                <w:rFonts w:asciiTheme="minorEastAsia" w:hAnsiTheme="minorEastAsia" w:eastAsiaTheme="minorEastAsia" w:cstheme="minorEastAsia"/>
                <w:color w:val="auto"/>
                <w:sz w:val="24"/>
                <w:szCs w:val="24"/>
                <w:highlight w:val="none"/>
              </w:rPr>
            </w:pPr>
          </w:p>
        </w:tc>
      </w:tr>
      <w:tr w14:paraId="3F76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670753F0">
            <w:pPr>
              <w:pStyle w:val="22"/>
              <w:rPr>
                <w:rFonts w:asciiTheme="minorEastAsia" w:hAnsiTheme="minorEastAsia" w:eastAsiaTheme="minorEastAsia" w:cstheme="minorEastAsia"/>
                <w:color w:val="auto"/>
                <w:sz w:val="24"/>
                <w:szCs w:val="24"/>
                <w:highlight w:val="none"/>
              </w:rPr>
            </w:pPr>
          </w:p>
        </w:tc>
        <w:tc>
          <w:tcPr>
            <w:tcW w:w="1515" w:type="dxa"/>
          </w:tcPr>
          <w:p w14:paraId="1F2C15B3">
            <w:pPr>
              <w:pStyle w:val="22"/>
              <w:rPr>
                <w:rFonts w:asciiTheme="minorEastAsia" w:hAnsiTheme="minorEastAsia" w:eastAsiaTheme="minorEastAsia" w:cstheme="minorEastAsia"/>
                <w:color w:val="auto"/>
                <w:sz w:val="24"/>
                <w:szCs w:val="24"/>
                <w:highlight w:val="none"/>
              </w:rPr>
            </w:pPr>
          </w:p>
        </w:tc>
        <w:tc>
          <w:tcPr>
            <w:tcW w:w="1742" w:type="dxa"/>
          </w:tcPr>
          <w:p w14:paraId="79494300">
            <w:pPr>
              <w:pStyle w:val="22"/>
              <w:rPr>
                <w:rFonts w:asciiTheme="minorEastAsia" w:hAnsiTheme="minorEastAsia" w:eastAsiaTheme="minorEastAsia" w:cstheme="minorEastAsia"/>
                <w:color w:val="auto"/>
                <w:sz w:val="24"/>
                <w:szCs w:val="24"/>
                <w:highlight w:val="none"/>
              </w:rPr>
            </w:pPr>
          </w:p>
        </w:tc>
        <w:tc>
          <w:tcPr>
            <w:tcW w:w="855" w:type="dxa"/>
          </w:tcPr>
          <w:p w14:paraId="0A9C4213">
            <w:pPr>
              <w:pStyle w:val="22"/>
              <w:rPr>
                <w:rFonts w:asciiTheme="minorEastAsia" w:hAnsiTheme="minorEastAsia" w:eastAsiaTheme="minorEastAsia" w:cstheme="minorEastAsia"/>
                <w:color w:val="auto"/>
                <w:sz w:val="24"/>
                <w:szCs w:val="24"/>
                <w:highlight w:val="none"/>
              </w:rPr>
            </w:pPr>
          </w:p>
        </w:tc>
        <w:tc>
          <w:tcPr>
            <w:tcW w:w="839" w:type="dxa"/>
          </w:tcPr>
          <w:p w14:paraId="279F9C1C">
            <w:pPr>
              <w:pStyle w:val="22"/>
              <w:rPr>
                <w:rFonts w:asciiTheme="minorEastAsia" w:hAnsiTheme="minorEastAsia" w:eastAsiaTheme="minorEastAsia" w:cstheme="minorEastAsia"/>
                <w:color w:val="auto"/>
                <w:sz w:val="24"/>
                <w:szCs w:val="24"/>
                <w:highlight w:val="none"/>
              </w:rPr>
            </w:pPr>
          </w:p>
        </w:tc>
        <w:tc>
          <w:tcPr>
            <w:tcW w:w="1048" w:type="dxa"/>
          </w:tcPr>
          <w:p w14:paraId="3134A368">
            <w:pPr>
              <w:pStyle w:val="22"/>
              <w:rPr>
                <w:rFonts w:asciiTheme="minorEastAsia" w:hAnsiTheme="minorEastAsia" w:eastAsiaTheme="minorEastAsia" w:cstheme="minorEastAsia"/>
                <w:color w:val="auto"/>
                <w:sz w:val="24"/>
                <w:szCs w:val="24"/>
                <w:highlight w:val="none"/>
              </w:rPr>
            </w:pPr>
          </w:p>
        </w:tc>
        <w:tc>
          <w:tcPr>
            <w:tcW w:w="1210" w:type="dxa"/>
          </w:tcPr>
          <w:p w14:paraId="4B6DA053">
            <w:pPr>
              <w:pStyle w:val="22"/>
              <w:rPr>
                <w:rFonts w:asciiTheme="minorEastAsia" w:hAnsiTheme="minorEastAsia" w:eastAsiaTheme="minorEastAsia" w:cstheme="minorEastAsia"/>
                <w:color w:val="auto"/>
                <w:sz w:val="24"/>
                <w:szCs w:val="24"/>
                <w:highlight w:val="none"/>
              </w:rPr>
            </w:pPr>
          </w:p>
        </w:tc>
        <w:tc>
          <w:tcPr>
            <w:tcW w:w="1210" w:type="dxa"/>
          </w:tcPr>
          <w:p w14:paraId="47AC7E4C">
            <w:pPr>
              <w:pStyle w:val="22"/>
              <w:rPr>
                <w:rFonts w:asciiTheme="minorEastAsia" w:hAnsiTheme="minorEastAsia" w:eastAsiaTheme="minorEastAsia" w:cstheme="minorEastAsia"/>
                <w:color w:val="auto"/>
                <w:sz w:val="24"/>
                <w:szCs w:val="24"/>
                <w:highlight w:val="none"/>
              </w:rPr>
            </w:pPr>
          </w:p>
        </w:tc>
      </w:tr>
      <w:tr w14:paraId="1BCAA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2D8063AD">
            <w:pPr>
              <w:pStyle w:val="22"/>
              <w:rPr>
                <w:rFonts w:asciiTheme="minorEastAsia" w:hAnsiTheme="minorEastAsia" w:eastAsiaTheme="minorEastAsia" w:cstheme="minorEastAsia"/>
                <w:color w:val="auto"/>
                <w:sz w:val="24"/>
                <w:szCs w:val="24"/>
                <w:highlight w:val="none"/>
              </w:rPr>
            </w:pPr>
          </w:p>
        </w:tc>
        <w:tc>
          <w:tcPr>
            <w:tcW w:w="1515" w:type="dxa"/>
          </w:tcPr>
          <w:p w14:paraId="317CA483">
            <w:pPr>
              <w:pStyle w:val="22"/>
              <w:rPr>
                <w:rFonts w:asciiTheme="minorEastAsia" w:hAnsiTheme="minorEastAsia" w:eastAsiaTheme="minorEastAsia" w:cstheme="minorEastAsia"/>
                <w:color w:val="auto"/>
                <w:sz w:val="24"/>
                <w:szCs w:val="24"/>
                <w:highlight w:val="none"/>
              </w:rPr>
            </w:pPr>
          </w:p>
        </w:tc>
        <w:tc>
          <w:tcPr>
            <w:tcW w:w="1742" w:type="dxa"/>
          </w:tcPr>
          <w:p w14:paraId="15C00611">
            <w:pPr>
              <w:pStyle w:val="22"/>
              <w:rPr>
                <w:rFonts w:asciiTheme="minorEastAsia" w:hAnsiTheme="minorEastAsia" w:eastAsiaTheme="minorEastAsia" w:cstheme="minorEastAsia"/>
                <w:color w:val="auto"/>
                <w:sz w:val="24"/>
                <w:szCs w:val="24"/>
                <w:highlight w:val="none"/>
              </w:rPr>
            </w:pPr>
          </w:p>
        </w:tc>
        <w:tc>
          <w:tcPr>
            <w:tcW w:w="855" w:type="dxa"/>
          </w:tcPr>
          <w:p w14:paraId="02B570CD">
            <w:pPr>
              <w:pStyle w:val="22"/>
              <w:rPr>
                <w:rFonts w:asciiTheme="minorEastAsia" w:hAnsiTheme="minorEastAsia" w:eastAsiaTheme="minorEastAsia" w:cstheme="minorEastAsia"/>
                <w:color w:val="auto"/>
                <w:sz w:val="24"/>
                <w:szCs w:val="24"/>
                <w:highlight w:val="none"/>
              </w:rPr>
            </w:pPr>
          </w:p>
        </w:tc>
        <w:tc>
          <w:tcPr>
            <w:tcW w:w="839" w:type="dxa"/>
          </w:tcPr>
          <w:p w14:paraId="05B52BE9">
            <w:pPr>
              <w:pStyle w:val="22"/>
              <w:rPr>
                <w:rFonts w:asciiTheme="minorEastAsia" w:hAnsiTheme="minorEastAsia" w:eastAsiaTheme="minorEastAsia" w:cstheme="minorEastAsia"/>
                <w:color w:val="auto"/>
                <w:sz w:val="24"/>
                <w:szCs w:val="24"/>
                <w:highlight w:val="none"/>
              </w:rPr>
            </w:pPr>
          </w:p>
        </w:tc>
        <w:tc>
          <w:tcPr>
            <w:tcW w:w="1048" w:type="dxa"/>
          </w:tcPr>
          <w:p w14:paraId="12624F69">
            <w:pPr>
              <w:pStyle w:val="22"/>
              <w:rPr>
                <w:rFonts w:asciiTheme="minorEastAsia" w:hAnsiTheme="minorEastAsia" w:eastAsiaTheme="minorEastAsia" w:cstheme="minorEastAsia"/>
                <w:color w:val="auto"/>
                <w:sz w:val="24"/>
                <w:szCs w:val="24"/>
                <w:highlight w:val="none"/>
              </w:rPr>
            </w:pPr>
          </w:p>
        </w:tc>
        <w:tc>
          <w:tcPr>
            <w:tcW w:w="1210" w:type="dxa"/>
          </w:tcPr>
          <w:p w14:paraId="608D175F">
            <w:pPr>
              <w:pStyle w:val="22"/>
              <w:rPr>
                <w:rFonts w:asciiTheme="minorEastAsia" w:hAnsiTheme="minorEastAsia" w:eastAsiaTheme="minorEastAsia" w:cstheme="minorEastAsia"/>
                <w:color w:val="auto"/>
                <w:sz w:val="24"/>
                <w:szCs w:val="24"/>
                <w:highlight w:val="none"/>
              </w:rPr>
            </w:pPr>
          </w:p>
        </w:tc>
        <w:tc>
          <w:tcPr>
            <w:tcW w:w="1210" w:type="dxa"/>
          </w:tcPr>
          <w:p w14:paraId="1FC676DC">
            <w:pPr>
              <w:pStyle w:val="22"/>
              <w:rPr>
                <w:rFonts w:asciiTheme="minorEastAsia" w:hAnsiTheme="minorEastAsia" w:eastAsiaTheme="minorEastAsia" w:cstheme="minorEastAsia"/>
                <w:color w:val="auto"/>
                <w:sz w:val="24"/>
                <w:szCs w:val="24"/>
                <w:highlight w:val="none"/>
              </w:rPr>
            </w:pPr>
          </w:p>
        </w:tc>
      </w:tr>
      <w:tr w14:paraId="793C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47B1D570">
            <w:pPr>
              <w:pStyle w:val="22"/>
              <w:rPr>
                <w:rFonts w:asciiTheme="minorEastAsia" w:hAnsiTheme="minorEastAsia" w:eastAsiaTheme="minorEastAsia" w:cstheme="minorEastAsia"/>
                <w:color w:val="auto"/>
                <w:sz w:val="24"/>
                <w:szCs w:val="24"/>
                <w:highlight w:val="none"/>
              </w:rPr>
            </w:pPr>
          </w:p>
        </w:tc>
        <w:tc>
          <w:tcPr>
            <w:tcW w:w="1515" w:type="dxa"/>
          </w:tcPr>
          <w:p w14:paraId="0C55FE36">
            <w:pPr>
              <w:pStyle w:val="22"/>
              <w:rPr>
                <w:rFonts w:asciiTheme="minorEastAsia" w:hAnsiTheme="minorEastAsia" w:eastAsiaTheme="minorEastAsia" w:cstheme="minorEastAsia"/>
                <w:color w:val="auto"/>
                <w:sz w:val="24"/>
                <w:szCs w:val="24"/>
                <w:highlight w:val="none"/>
              </w:rPr>
            </w:pPr>
          </w:p>
        </w:tc>
        <w:tc>
          <w:tcPr>
            <w:tcW w:w="1742" w:type="dxa"/>
          </w:tcPr>
          <w:p w14:paraId="5A060CE5">
            <w:pPr>
              <w:pStyle w:val="22"/>
              <w:rPr>
                <w:rFonts w:asciiTheme="minorEastAsia" w:hAnsiTheme="minorEastAsia" w:eastAsiaTheme="minorEastAsia" w:cstheme="minorEastAsia"/>
                <w:color w:val="auto"/>
                <w:sz w:val="24"/>
                <w:szCs w:val="24"/>
                <w:highlight w:val="none"/>
              </w:rPr>
            </w:pPr>
          </w:p>
        </w:tc>
        <w:tc>
          <w:tcPr>
            <w:tcW w:w="855" w:type="dxa"/>
          </w:tcPr>
          <w:p w14:paraId="35299EA2">
            <w:pPr>
              <w:pStyle w:val="22"/>
              <w:rPr>
                <w:rFonts w:asciiTheme="minorEastAsia" w:hAnsiTheme="minorEastAsia" w:eastAsiaTheme="minorEastAsia" w:cstheme="minorEastAsia"/>
                <w:color w:val="auto"/>
                <w:sz w:val="24"/>
                <w:szCs w:val="24"/>
                <w:highlight w:val="none"/>
              </w:rPr>
            </w:pPr>
          </w:p>
        </w:tc>
        <w:tc>
          <w:tcPr>
            <w:tcW w:w="839" w:type="dxa"/>
          </w:tcPr>
          <w:p w14:paraId="18B786D8">
            <w:pPr>
              <w:pStyle w:val="22"/>
              <w:rPr>
                <w:rFonts w:asciiTheme="minorEastAsia" w:hAnsiTheme="minorEastAsia" w:eastAsiaTheme="minorEastAsia" w:cstheme="minorEastAsia"/>
                <w:color w:val="auto"/>
                <w:sz w:val="24"/>
                <w:szCs w:val="24"/>
                <w:highlight w:val="none"/>
              </w:rPr>
            </w:pPr>
          </w:p>
        </w:tc>
        <w:tc>
          <w:tcPr>
            <w:tcW w:w="1048" w:type="dxa"/>
          </w:tcPr>
          <w:p w14:paraId="53BCC5B7">
            <w:pPr>
              <w:pStyle w:val="22"/>
              <w:rPr>
                <w:rFonts w:asciiTheme="minorEastAsia" w:hAnsiTheme="minorEastAsia" w:eastAsiaTheme="minorEastAsia" w:cstheme="minorEastAsia"/>
                <w:color w:val="auto"/>
                <w:sz w:val="24"/>
                <w:szCs w:val="24"/>
                <w:highlight w:val="none"/>
              </w:rPr>
            </w:pPr>
          </w:p>
        </w:tc>
        <w:tc>
          <w:tcPr>
            <w:tcW w:w="1210" w:type="dxa"/>
          </w:tcPr>
          <w:p w14:paraId="0BF9CEA2">
            <w:pPr>
              <w:pStyle w:val="22"/>
              <w:rPr>
                <w:rFonts w:asciiTheme="minorEastAsia" w:hAnsiTheme="minorEastAsia" w:eastAsiaTheme="minorEastAsia" w:cstheme="minorEastAsia"/>
                <w:color w:val="auto"/>
                <w:sz w:val="24"/>
                <w:szCs w:val="24"/>
                <w:highlight w:val="none"/>
              </w:rPr>
            </w:pPr>
          </w:p>
        </w:tc>
        <w:tc>
          <w:tcPr>
            <w:tcW w:w="1210" w:type="dxa"/>
          </w:tcPr>
          <w:p w14:paraId="0978C577">
            <w:pPr>
              <w:pStyle w:val="22"/>
              <w:rPr>
                <w:rFonts w:asciiTheme="minorEastAsia" w:hAnsiTheme="minorEastAsia" w:eastAsiaTheme="minorEastAsia" w:cstheme="minorEastAsia"/>
                <w:color w:val="auto"/>
                <w:sz w:val="24"/>
                <w:szCs w:val="24"/>
                <w:highlight w:val="none"/>
              </w:rPr>
            </w:pPr>
          </w:p>
        </w:tc>
      </w:tr>
      <w:tr w14:paraId="76BB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144828AF">
            <w:pPr>
              <w:pStyle w:val="22"/>
              <w:rPr>
                <w:rFonts w:asciiTheme="minorEastAsia" w:hAnsiTheme="minorEastAsia" w:eastAsiaTheme="minorEastAsia" w:cstheme="minorEastAsia"/>
                <w:color w:val="auto"/>
                <w:sz w:val="24"/>
                <w:szCs w:val="24"/>
                <w:highlight w:val="none"/>
              </w:rPr>
            </w:pPr>
          </w:p>
        </w:tc>
        <w:tc>
          <w:tcPr>
            <w:tcW w:w="1515" w:type="dxa"/>
          </w:tcPr>
          <w:p w14:paraId="2F4D7FD7">
            <w:pPr>
              <w:pStyle w:val="22"/>
              <w:rPr>
                <w:rFonts w:asciiTheme="minorEastAsia" w:hAnsiTheme="minorEastAsia" w:eastAsiaTheme="minorEastAsia" w:cstheme="minorEastAsia"/>
                <w:color w:val="auto"/>
                <w:sz w:val="24"/>
                <w:szCs w:val="24"/>
                <w:highlight w:val="none"/>
              </w:rPr>
            </w:pPr>
          </w:p>
        </w:tc>
        <w:tc>
          <w:tcPr>
            <w:tcW w:w="1742" w:type="dxa"/>
          </w:tcPr>
          <w:p w14:paraId="4B2E32C5">
            <w:pPr>
              <w:pStyle w:val="22"/>
              <w:rPr>
                <w:rFonts w:asciiTheme="minorEastAsia" w:hAnsiTheme="minorEastAsia" w:eastAsiaTheme="minorEastAsia" w:cstheme="minorEastAsia"/>
                <w:color w:val="auto"/>
                <w:sz w:val="24"/>
                <w:szCs w:val="24"/>
                <w:highlight w:val="none"/>
              </w:rPr>
            </w:pPr>
          </w:p>
        </w:tc>
        <w:tc>
          <w:tcPr>
            <w:tcW w:w="855" w:type="dxa"/>
          </w:tcPr>
          <w:p w14:paraId="465E9D56">
            <w:pPr>
              <w:pStyle w:val="22"/>
              <w:rPr>
                <w:rFonts w:asciiTheme="minorEastAsia" w:hAnsiTheme="minorEastAsia" w:eastAsiaTheme="minorEastAsia" w:cstheme="minorEastAsia"/>
                <w:color w:val="auto"/>
                <w:sz w:val="24"/>
                <w:szCs w:val="24"/>
                <w:highlight w:val="none"/>
              </w:rPr>
            </w:pPr>
          </w:p>
        </w:tc>
        <w:tc>
          <w:tcPr>
            <w:tcW w:w="839" w:type="dxa"/>
          </w:tcPr>
          <w:p w14:paraId="36C6CA0E">
            <w:pPr>
              <w:pStyle w:val="22"/>
              <w:rPr>
                <w:rFonts w:asciiTheme="minorEastAsia" w:hAnsiTheme="minorEastAsia" w:eastAsiaTheme="minorEastAsia" w:cstheme="minorEastAsia"/>
                <w:color w:val="auto"/>
                <w:sz w:val="24"/>
                <w:szCs w:val="24"/>
                <w:highlight w:val="none"/>
              </w:rPr>
            </w:pPr>
          </w:p>
        </w:tc>
        <w:tc>
          <w:tcPr>
            <w:tcW w:w="1048" w:type="dxa"/>
          </w:tcPr>
          <w:p w14:paraId="03423E73">
            <w:pPr>
              <w:pStyle w:val="22"/>
              <w:rPr>
                <w:rFonts w:asciiTheme="minorEastAsia" w:hAnsiTheme="minorEastAsia" w:eastAsiaTheme="minorEastAsia" w:cstheme="minorEastAsia"/>
                <w:color w:val="auto"/>
                <w:sz w:val="24"/>
                <w:szCs w:val="24"/>
                <w:highlight w:val="none"/>
              </w:rPr>
            </w:pPr>
          </w:p>
        </w:tc>
        <w:tc>
          <w:tcPr>
            <w:tcW w:w="1210" w:type="dxa"/>
          </w:tcPr>
          <w:p w14:paraId="1F628092">
            <w:pPr>
              <w:pStyle w:val="22"/>
              <w:rPr>
                <w:rFonts w:asciiTheme="minorEastAsia" w:hAnsiTheme="minorEastAsia" w:eastAsiaTheme="minorEastAsia" w:cstheme="minorEastAsia"/>
                <w:color w:val="auto"/>
                <w:sz w:val="24"/>
                <w:szCs w:val="24"/>
                <w:highlight w:val="none"/>
              </w:rPr>
            </w:pPr>
          </w:p>
        </w:tc>
        <w:tc>
          <w:tcPr>
            <w:tcW w:w="1210" w:type="dxa"/>
          </w:tcPr>
          <w:p w14:paraId="20EB1CC3">
            <w:pPr>
              <w:pStyle w:val="22"/>
              <w:rPr>
                <w:rFonts w:asciiTheme="minorEastAsia" w:hAnsiTheme="minorEastAsia" w:eastAsiaTheme="minorEastAsia" w:cstheme="minorEastAsia"/>
                <w:color w:val="auto"/>
                <w:sz w:val="24"/>
                <w:szCs w:val="24"/>
                <w:highlight w:val="none"/>
              </w:rPr>
            </w:pPr>
          </w:p>
        </w:tc>
      </w:tr>
      <w:tr w14:paraId="68F4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04BD14CA">
            <w:pPr>
              <w:pStyle w:val="22"/>
              <w:rPr>
                <w:rFonts w:asciiTheme="minorEastAsia" w:hAnsiTheme="minorEastAsia" w:eastAsiaTheme="minorEastAsia" w:cstheme="minorEastAsia"/>
                <w:color w:val="auto"/>
                <w:sz w:val="24"/>
                <w:szCs w:val="24"/>
                <w:highlight w:val="none"/>
              </w:rPr>
            </w:pPr>
          </w:p>
        </w:tc>
        <w:tc>
          <w:tcPr>
            <w:tcW w:w="1515" w:type="dxa"/>
          </w:tcPr>
          <w:p w14:paraId="64D33510">
            <w:pPr>
              <w:pStyle w:val="22"/>
              <w:rPr>
                <w:rFonts w:asciiTheme="minorEastAsia" w:hAnsiTheme="minorEastAsia" w:eastAsiaTheme="minorEastAsia" w:cstheme="minorEastAsia"/>
                <w:color w:val="auto"/>
                <w:sz w:val="24"/>
                <w:szCs w:val="24"/>
                <w:highlight w:val="none"/>
              </w:rPr>
            </w:pPr>
          </w:p>
        </w:tc>
        <w:tc>
          <w:tcPr>
            <w:tcW w:w="1742" w:type="dxa"/>
          </w:tcPr>
          <w:p w14:paraId="15A7A30C">
            <w:pPr>
              <w:pStyle w:val="22"/>
              <w:rPr>
                <w:rFonts w:asciiTheme="minorEastAsia" w:hAnsiTheme="minorEastAsia" w:eastAsiaTheme="minorEastAsia" w:cstheme="minorEastAsia"/>
                <w:color w:val="auto"/>
                <w:sz w:val="24"/>
                <w:szCs w:val="24"/>
                <w:highlight w:val="none"/>
              </w:rPr>
            </w:pPr>
          </w:p>
        </w:tc>
        <w:tc>
          <w:tcPr>
            <w:tcW w:w="855" w:type="dxa"/>
          </w:tcPr>
          <w:p w14:paraId="5B26BCFA">
            <w:pPr>
              <w:pStyle w:val="22"/>
              <w:rPr>
                <w:rFonts w:asciiTheme="minorEastAsia" w:hAnsiTheme="minorEastAsia" w:eastAsiaTheme="minorEastAsia" w:cstheme="minorEastAsia"/>
                <w:color w:val="auto"/>
                <w:sz w:val="24"/>
                <w:szCs w:val="24"/>
                <w:highlight w:val="none"/>
              </w:rPr>
            </w:pPr>
          </w:p>
        </w:tc>
        <w:tc>
          <w:tcPr>
            <w:tcW w:w="839" w:type="dxa"/>
          </w:tcPr>
          <w:p w14:paraId="782CB6CE">
            <w:pPr>
              <w:pStyle w:val="22"/>
              <w:rPr>
                <w:rFonts w:asciiTheme="minorEastAsia" w:hAnsiTheme="minorEastAsia" w:eastAsiaTheme="minorEastAsia" w:cstheme="minorEastAsia"/>
                <w:color w:val="auto"/>
                <w:sz w:val="24"/>
                <w:szCs w:val="24"/>
                <w:highlight w:val="none"/>
              </w:rPr>
            </w:pPr>
          </w:p>
        </w:tc>
        <w:tc>
          <w:tcPr>
            <w:tcW w:w="1048" w:type="dxa"/>
          </w:tcPr>
          <w:p w14:paraId="666E03EE">
            <w:pPr>
              <w:pStyle w:val="22"/>
              <w:rPr>
                <w:rFonts w:asciiTheme="minorEastAsia" w:hAnsiTheme="minorEastAsia" w:eastAsiaTheme="minorEastAsia" w:cstheme="minorEastAsia"/>
                <w:color w:val="auto"/>
                <w:sz w:val="24"/>
                <w:szCs w:val="24"/>
                <w:highlight w:val="none"/>
              </w:rPr>
            </w:pPr>
          </w:p>
        </w:tc>
        <w:tc>
          <w:tcPr>
            <w:tcW w:w="1210" w:type="dxa"/>
          </w:tcPr>
          <w:p w14:paraId="2599AE7C">
            <w:pPr>
              <w:pStyle w:val="22"/>
              <w:rPr>
                <w:rFonts w:asciiTheme="minorEastAsia" w:hAnsiTheme="minorEastAsia" w:eastAsiaTheme="minorEastAsia" w:cstheme="minorEastAsia"/>
                <w:color w:val="auto"/>
                <w:sz w:val="24"/>
                <w:szCs w:val="24"/>
                <w:highlight w:val="none"/>
              </w:rPr>
            </w:pPr>
          </w:p>
        </w:tc>
        <w:tc>
          <w:tcPr>
            <w:tcW w:w="1210" w:type="dxa"/>
          </w:tcPr>
          <w:p w14:paraId="13C7898A">
            <w:pPr>
              <w:pStyle w:val="22"/>
              <w:rPr>
                <w:rFonts w:asciiTheme="minorEastAsia" w:hAnsiTheme="minorEastAsia" w:eastAsiaTheme="minorEastAsia" w:cstheme="minorEastAsia"/>
                <w:color w:val="auto"/>
                <w:sz w:val="24"/>
                <w:szCs w:val="24"/>
                <w:highlight w:val="none"/>
              </w:rPr>
            </w:pPr>
          </w:p>
        </w:tc>
      </w:tr>
      <w:tr w14:paraId="4AF1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Pr>
          <w:p w14:paraId="7C48A002">
            <w:pPr>
              <w:pStyle w:val="22"/>
              <w:rPr>
                <w:rFonts w:asciiTheme="minorEastAsia" w:hAnsiTheme="minorEastAsia" w:eastAsiaTheme="minorEastAsia" w:cstheme="minorEastAsia"/>
                <w:color w:val="auto"/>
                <w:sz w:val="24"/>
                <w:szCs w:val="24"/>
                <w:highlight w:val="none"/>
              </w:rPr>
            </w:pPr>
          </w:p>
        </w:tc>
        <w:tc>
          <w:tcPr>
            <w:tcW w:w="1515" w:type="dxa"/>
          </w:tcPr>
          <w:p w14:paraId="092F7207">
            <w:pPr>
              <w:pStyle w:val="22"/>
              <w:rPr>
                <w:rFonts w:asciiTheme="minorEastAsia" w:hAnsiTheme="minorEastAsia" w:eastAsiaTheme="minorEastAsia" w:cstheme="minorEastAsia"/>
                <w:color w:val="auto"/>
                <w:sz w:val="24"/>
                <w:szCs w:val="24"/>
                <w:highlight w:val="none"/>
              </w:rPr>
            </w:pPr>
          </w:p>
        </w:tc>
        <w:tc>
          <w:tcPr>
            <w:tcW w:w="1742" w:type="dxa"/>
          </w:tcPr>
          <w:p w14:paraId="7C362F69">
            <w:pPr>
              <w:pStyle w:val="22"/>
              <w:rPr>
                <w:rFonts w:asciiTheme="minorEastAsia" w:hAnsiTheme="minorEastAsia" w:eastAsiaTheme="minorEastAsia" w:cstheme="minorEastAsia"/>
                <w:color w:val="auto"/>
                <w:sz w:val="24"/>
                <w:szCs w:val="24"/>
                <w:highlight w:val="none"/>
              </w:rPr>
            </w:pPr>
          </w:p>
        </w:tc>
        <w:tc>
          <w:tcPr>
            <w:tcW w:w="855" w:type="dxa"/>
          </w:tcPr>
          <w:p w14:paraId="45C5CA2D">
            <w:pPr>
              <w:pStyle w:val="22"/>
              <w:rPr>
                <w:rFonts w:asciiTheme="minorEastAsia" w:hAnsiTheme="minorEastAsia" w:eastAsiaTheme="minorEastAsia" w:cstheme="minorEastAsia"/>
                <w:color w:val="auto"/>
                <w:sz w:val="24"/>
                <w:szCs w:val="24"/>
                <w:highlight w:val="none"/>
              </w:rPr>
            </w:pPr>
          </w:p>
        </w:tc>
        <w:tc>
          <w:tcPr>
            <w:tcW w:w="839" w:type="dxa"/>
          </w:tcPr>
          <w:p w14:paraId="4FEA0414">
            <w:pPr>
              <w:pStyle w:val="22"/>
              <w:rPr>
                <w:rFonts w:asciiTheme="minorEastAsia" w:hAnsiTheme="minorEastAsia" w:eastAsiaTheme="minorEastAsia" w:cstheme="minorEastAsia"/>
                <w:color w:val="auto"/>
                <w:sz w:val="24"/>
                <w:szCs w:val="24"/>
                <w:highlight w:val="none"/>
              </w:rPr>
            </w:pPr>
          </w:p>
        </w:tc>
        <w:tc>
          <w:tcPr>
            <w:tcW w:w="1048" w:type="dxa"/>
          </w:tcPr>
          <w:p w14:paraId="5FAB4409">
            <w:pPr>
              <w:pStyle w:val="22"/>
              <w:rPr>
                <w:rFonts w:asciiTheme="minorEastAsia" w:hAnsiTheme="minorEastAsia" w:eastAsiaTheme="minorEastAsia" w:cstheme="minorEastAsia"/>
                <w:color w:val="auto"/>
                <w:sz w:val="24"/>
                <w:szCs w:val="24"/>
                <w:highlight w:val="none"/>
              </w:rPr>
            </w:pPr>
          </w:p>
        </w:tc>
        <w:tc>
          <w:tcPr>
            <w:tcW w:w="1210" w:type="dxa"/>
          </w:tcPr>
          <w:p w14:paraId="485E0621">
            <w:pPr>
              <w:pStyle w:val="22"/>
              <w:rPr>
                <w:rFonts w:asciiTheme="minorEastAsia" w:hAnsiTheme="minorEastAsia" w:eastAsiaTheme="minorEastAsia" w:cstheme="minorEastAsia"/>
                <w:color w:val="auto"/>
                <w:sz w:val="24"/>
                <w:szCs w:val="24"/>
                <w:highlight w:val="none"/>
              </w:rPr>
            </w:pPr>
          </w:p>
        </w:tc>
        <w:tc>
          <w:tcPr>
            <w:tcW w:w="1210" w:type="dxa"/>
          </w:tcPr>
          <w:p w14:paraId="5A1DF94D">
            <w:pPr>
              <w:pStyle w:val="22"/>
              <w:rPr>
                <w:rFonts w:asciiTheme="minorEastAsia" w:hAnsiTheme="minorEastAsia" w:eastAsiaTheme="minorEastAsia" w:cstheme="minorEastAsia"/>
                <w:color w:val="auto"/>
                <w:sz w:val="24"/>
                <w:szCs w:val="24"/>
                <w:highlight w:val="none"/>
              </w:rPr>
            </w:pPr>
          </w:p>
        </w:tc>
      </w:tr>
    </w:tbl>
    <w:p w14:paraId="3E0E5318">
      <w:pPr>
        <w:spacing w:line="360" w:lineRule="auto"/>
        <w:ind w:firstLine="480" w:firstLineChars="200"/>
        <w:rPr>
          <w:rFonts w:asciiTheme="minorEastAsia" w:hAnsiTheme="minorEastAsia" w:eastAsiaTheme="minorEastAsia" w:cstheme="minorEastAsia"/>
          <w:color w:val="auto"/>
          <w:sz w:val="24"/>
          <w:szCs w:val="24"/>
          <w:highlight w:val="none"/>
        </w:rPr>
      </w:pPr>
    </w:p>
    <w:p w14:paraId="46968B52">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注：1、提供的备品备件、配件及专用工具必须符合国家标准和本项目要求。</w:t>
      </w:r>
    </w:p>
    <w:p w14:paraId="186BAD32">
      <w:pPr>
        <w:pStyle w:val="22"/>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2、投标人应免费提供质量保修期内必备的备品、备件及专用工具。</w:t>
      </w:r>
    </w:p>
    <w:p w14:paraId="75E019EC">
      <w:pPr>
        <w:pStyle w:val="22"/>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3、投标人应根据投标清单中的技术状况列出详细的备品备件及专用工具清单，并附详细的使用说明。如在质量保修期内实际所需的数量超过了中标人在投标时预计和实际提供的数量时，中标人应负责免费供应。</w:t>
      </w:r>
    </w:p>
    <w:p w14:paraId="314F6CDE">
      <w:pPr>
        <w:pStyle w:val="22"/>
        <w:spacing w:line="360" w:lineRule="auto"/>
        <w:rPr>
          <w:rFonts w:asciiTheme="minorEastAsia" w:hAnsiTheme="minorEastAsia" w:eastAsiaTheme="minorEastAsia" w:cstheme="minorEastAsia"/>
          <w:color w:val="auto"/>
          <w:sz w:val="24"/>
          <w:szCs w:val="24"/>
          <w:highlight w:val="none"/>
        </w:rPr>
      </w:pPr>
    </w:p>
    <w:p w14:paraId="4F105D7C">
      <w:pPr>
        <w:pStyle w:val="22"/>
        <w:spacing w:line="360" w:lineRule="auto"/>
        <w:rPr>
          <w:rFonts w:asciiTheme="minorEastAsia" w:hAnsiTheme="minorEastAsia" w:eastAsiaTheme="minorEastAsia" w:cstheme="minorEastAsia"/>
          <w:color w:val="auto"/>
          <w:sz w:val="24"/>
          <w:szCs w:val="24"/>
          <w:highlight w:val="none"/>
        </w:rPr>
      </w:pPr>
    </w:p>
    <w:p w14:paraId="41DF39E9">
      <w:pPr>
        <w:pStyle w:val="22"/>
        <w:spacing w:line="360" w:lineRule="auto"/>
        <w:ind w:firstLine="2880" w:firstLineChars="1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投标人：（盖章）</w:t>
      </w:r>
    </w:p>
    <w:p w14:paraId="2BBD6DA5">
      <w:pPr>
        <w:pStyle w:val="22"/>
        <w:spacing w:line="360" w:lineRule="auto"/>
        <w:ind w:firstLine="2880" w:firstLineChars="1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法定代表人或委托代理人：（签字或盖章）                               </w:t>
      </w:r>
    </w:p>
    <w:p w14:paraId="1D243028">
      <w:pPr>
        <w:adjustRightInd w:val="0"/>
        <w:snapToGrid w:val="0"/>
        <w:spacing w:before="50" w:after="50" w:line="400" w:lineRule="exact"/>
        <w:ind w:firstLine="2880" w:firstLineChars="1200"/>
        <w:rPr>
          <w:rFonts w:ascii="宋体" w:hAnsi="宋体" w:cs="宋体"/>
          <w:b/>
          <w:bCs/>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10582083">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FE3FAFD">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21、其他优惠条件（如有）：投标人承诺给予采购人的各种优惠条件，包括备品备件、专用耗材等；</w:t>
      </w:r>
    </w:p>
    <w:p w14:paraId="082074A2">
      <w:pPr>
        <w:widowControl/>
        <w:snapToGrid w:val="0"/>
        <w:spacing w:line="400" w:lineRule="exact"/>
        <w:jc w:val="left"/>
        <w:rPr>
          <w:rFonts w:ascii="宋体" w:hAnsi="宋体" w:cs="宋体"/>
          <w:b/>
          <w:color w:val="auto"/>
          <w:sz w:val="24"/>
          <w:szCs w:val="24"/>
          <w:highlight w:val="none"/>
        </w:rPr>
      </w:pPr>
    </w:p>
    <w:p w14:paraId="60273195">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AA60CF3">
      <w:pPr>
        <w:widowControl/>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22、投标人需要提供的其他文件或资料（如有）。</w:t>
      </w:r>
    </w:p>
    <w:p w14:paraId="2F4BAEBB">
      <w:pPr>
        <w:pStyle w:val="30"/>
        <w:rPr>
          <w:rFonts w:ascii="宋体" w:hAnsi="宋体" w:cs="宋体"/>
          <w:b/>
          <w:bCs/>
          <w:color w:val="auto"/>
          <w:sz w:val="24"/>
          <w:szCs w:val="24"/>
          <w:highlight w:val="none"/>
        </w:rPr>
      </w:pPr>
    </w:p>
    <w:p w14:paraId="057AF75B">
      <w:pPr>
        <w:pStyle w:val="30"/>
        <w:rPr>
          <w:rFonts w:ascii="宋体" w:hAnsi="宋体" w:cs="宋体"/>
          <w:b/>
          <w:bCs/>
          <w:color w:val="auto"/>
          <w:sz w:val="24"/>
          <w:szCs w:val="24"/>
          <w:highlight w:val="none"/>
        </w:rPr>
      </w:pPr>
    </w:p>
    <w:p w14:paraId="5970131B">
      <w:pPr>
        <w:pStyle w:val="30"/>
        <w:rPr>
          <w:rFonts w:ascii="宋体" w:hAnsi="宋体" w:cs="宋体"/>
          <w:b/>
          <w:bCs/>
          <w:color w:val="auto"/>
          <w:sz w:val="24"/>
          <w:szCs w:val="24"/>
          <w:highlight w:val="none"/>
        </w:rPr>
      </w:pPr>
    </w:p>
    <w:p w14:paraId="3B99E3BA">
      <w:pPr>
        <w:rPr>
          <w:color w:val="auto"/>
          <w:sz w:val="24"/>
          <w:szCs w:val="22"/>
          <w:highlight w:val="none"/>
        </w:rPr>
      </w:pPr>
      <w:r>
        <w:rPr>
          <w:rFonts w:hint="eastAsia"/>
          <w:color w:val="auto"/>
          <w:sz w:val="24"/>
          <w:szCs w:val="22"/>
          <w:highlight w:val="none"/>
        </w:rPr>
        <w:br w:type="page"/>
      </w:r>
    </w:p>
    <w:p w14:paraId="19C22626">
      <w:pPr>
        <w:pStyle w:val="38"/>
        <w:ind w:firstLine="0" w:firstLineChars="0"/>
        <w:rPr>
          <w:color w:val="auto"/>
          <w:sz w:val="24"/>
          <w:szCs w:val="22"/>
          <w:highlight w:val="none"/>
        </w:rPr>
      </w:pPr>
      <w:r>
        <w:rPr>
          <w:rFonts w:hint="eastAsia"/>
          <w:color w:val="auto"/>
          <w:sz w:val="24"/>
          <w:szCs w:val="22"/>
          <w:highlight w:val="none"/>
        </w:rPr>
        <w:t>附：</w:t>
      </w:r>
    </w:p>
    <w:p w14:paraId="483E2F89">
      <w:pPr>
        <w:pStyle w:val="38"/>
        <w:ind w:firstLine="0" w:firstLineChars="0"/>
        <w:jc w:val="center"/>
        <w:rPr>
          <w:color w:val="auto"/>
          <w:sz w:val="24"/>
          <w:szCs w:val="22"/>
          <w:highlight w:val="none"/>
        </w:rPr>
      </w:pPr>
      <w:r>
        <w:rPr>
          <w:rFonts w:hint="eastAsia"/>
          <w:color w:val="auto"/>
          <w:sz w:val="24"/>
          <w:szCs w:val="22"/>
          <w:highlight w:val="none"/>
        </w:rPr>
        <w:t>质疑函范本</w:t>
      </w:r>
    </w:p>
    <w:p w14:paraId="14B2694C">
      <w:pPr>
        <w:pStyle w:val="38"/>
        <w:ind w:firstLine="480"/>
        <w:rPr>
          <w:color w:val="auto"/>
          <w:sz w:val="24"/>
          <w:szCs w:val="22"/>
          <w:highlight w:val="none"/>
        </w:rPr>
      </w:pPr>
      <w:r>
        <w:rPr>
          <w:rFonts w:hint="eastAsia"/>
          <w:color w:val="auto"/>
          <w:sz w:val="24"/>
          <w:szCs w:val="22"/>
          <w:highlight w:val="none"/>
        </w:rPr>
        <w:t>一、质疑供应商基本信息</w:t>
      </w:r>
    </w:p>
    <w:p w14:paraId="1B7E49E0">
      <w:pPr>
        <w:pStyle w:val="38"/>
        <w:ind w:firstLine="480"/>
        <w:rPr>
          <w:color w:val="auto"/>
          <w:sz w:val="24"/>
          <w:szCs w:val="22"/>
          <w:highlight w:val="none"/>
          <w:u w:val="single"/>
        </w:rPr>
      </w:pPr>
      <w:r>
        <w:rPr>
          <w:rFonts w:hint="eastAsia"/>
          <w:color w:val="auto"/>
          <w:sz w:val="24"/>
          <w:szCs w:val="22"/>
          <w:highlight w:val="none"/>
        </w:rPr>
        <w:t xml:space="preserve">质疑供应商：  </w:t>
      </w:r>
    </w:p>
    <w:p w14:paraId="56E4D1DE">
      <w:pPr>
        <w:pStyle w:val="38"/>
        <w:ind w:firstLine="480"/>
        <w:rPr>
          <w:color w:val="auto"/>
          <w:sz w:val="24"/>
          <w:szCs w:val="22"/>
          <w:highlight w:val="none"/>
        </w:rPr>
      </w:pPr>
      <w:r>
        <w:rPr>
          <w:rFonts w:hint="eastAsia"/>
          <w:color w:val="auto"/>
          <w:sz w:val="24"/>
          <w:szCs w:val="22"/>
          <w:highlight w:val="none"/>
        </w:rPr>
        <w:t xml:space="preserve">地址：                          邮编：                  </w:t>
      </w:r>
    </w:p>
    <w:p w14:paraId="23541408">
      <w:pPr>
        <w:pStyle w:val="38"/>
        <w:ind w:firstLine="480"/>
        <w:rPr>
          <w:color w:val="auto"/>
          <w:sz w:val="24"/>
          <w:szCs w:val="22"/>
          <w:highlight w:val="none"/>
        </w:rPr>
      </w:pPr>
      <w:r>
        <w:rPr>
          <w:rFonts w:hint="eastAsia"/>
          <w:color w:val="auto"/>
          <w:sz w:val="24"/>
          <w:szCs w:val="22"/>
          <w:highlight w:val="none"/>
        </w:rPr>
        <w:t xml:space="preserve">联系人：                      联系电话：                 </w:t>
      </w:r>
    </w:p>
    <w:p w14:paraId="6B913D56">
      <w:pPr>
        <w:pStyle w:val="38"/>
        <w:ind w:firstLine="480"/>
        <w:rPr>
          <w:color w:val="auto"/>
          <w:sz w:val="24"/>
          <w:szCs w:val="22"/>
          <w:highlight w:val="none"/>
        </w:rPr>
      </w:pPr>
      <w:r>
        <w:rPr>
          <w:rFonts w:hint="eastAsia"/>
          <w:color w:val="auto"/>
          <w:sz w:val="24"/>
          <w:szCs w:val="22"/>
          <w:highlight w:val="none"/>
        </w:rPr>
        <w:t xml:space="preserve">授权代表：                                          </w:t>
      </w:r>
    </w:p>
    <w:p w14:paraId="3DEB028E">
      <w:pPr>
        <w:pStyle w:val="38"/>
        <w:ind w:firstLine="480"/>
        <w:rPr>
          <w:color w:val="auto"/>
          <w:sz w:val="24"/>
          <w:szCs w:val="22"/>
          <w:highlight w:val="none"/>
        </w:rPr>
      </w:pPr>
      <w:r>
        <w:rPr>
          <w:rFonts w:hint="eastAsia"/>
          <w:color w:val="auto"/>
          <w:sz w:val="24"/>
          <w:szCs w:val="22"/>
          <w:highlight w:val="none"/>
        </w:rPr>
        <w:t xml:space="preserve">联系电话：                                            </w:t>
      </w:r>
    </w:p>
    <w:p w14:paraId="7BCDD43B">
      <w:pPr>
        <w:pStyle w:val="38"/>
        <w:ind w:firstLine="480"/>
        <w:rPr>
          <w:color w:val="auto"/>
          <w:sz w:val="24"/>
          <w:szCs w:val="22"/>
          <w:highlight w:val="none"/>
        </w:rPr>
      </w:pPr>
      <w:r>
        <w:rPr>
          <w:rFonts w:hint="eastAsia"/>
          <w:color w:val="auto"/>
          <w:sz w:val="24"/>
          <w:szCs w:val="22"/>
          <w:highlight w:val="none"/>
        </w:rPr>
        <w:t xml:space="preserve">地址：                         邮编：                    </w:t>
      </w:r>
    </w:p>
    <w:p w14:paraId="2253C2B0">
      <w:pPr>
        <w:pStyle w:val="38"/>
        <w:ind w:firstLine="480"/>
        <w:rPr>
          <w:color w:val="auto"/>
          <w:sz w:val="24"/>
          <w:szCs w:val="22"/>
          <w:highlight w:val="none"/>
        </w:rPr>
      </w:pPr>
      <w:r>
        <w:rPr>
          <w:rFonts w:hint="eastAsia"/>
          <w:color w:val="auto"/>
          <w:sz w:val="24"/>
          <w:szCs w:val="22"/>
          <w:highlight w:val="none"/>
        </w:rPr>
        <w:t>二、质疑项目基本情况</w:t>
      </w:r>
    </w:p>
    <w:p w14:paraId="0260991B">
      <w:pPr>
        <w:pStyle w:val="38"/>
        <w:ind w:firstLine="480"/>
        <w:rPr>
          <w:color w:val="auto"/>
          <w:sz w:val="24"/>
          <w:szCs w:val="22"/>
          <w:highlight w:val="none"/>
        </w:rPr>
      </w:pPr>
      <w:r>
        <w:rPr>
          <w:rFonts w:hint="eastAsia"/>
          <w:color w:val="auto"/>
          <w:sz w:val="24"/>
          <w:szCs w:val="22"/>
          <w:highlight w:val="none"/>
        </w:rPr>
        <w:t xml:space="preserve">质疑项目的名称：                                      </w:t>
      </w:r>
    </w:p>
    <w:p w14:paraId="4EDE5901">
      <w:pPr>
        <w:pStyle w:val="38"/>
        <w:ind w:firstLine="480"/>
        <w:rPr>
          <w:color w:val="auto"/>
          <w:sz w:val="24"/>
          <w:szCs w:val="22"/>
          <w:highlight w:val="none"/>
        </w:rPr>
      </w:pPr>
      <w:r>
        <w:rPr>
          <w:rFonts w:hint="eastAsia"/>
          <w:color w:val="auto"/>
          <w:sz w:val="24"/>
          <w:szCs w:val="22"/>
          <w:highlight w:val="none"/>
        </w:rPr>
        <w:t xml:space="preserve">质疑项目的编号：               包号：                 </w:t>
      </w:r>
    </w:p>
    <w:p w14:paraId="43095E0C">
      <w:pPr>
        <w:pStyle w:val="38"/>
        <w:ind w:firstLine="480"/>
        <w:rPr>
          <w:color w:val="auto"/>
          <w:sz w:val="24"/>
          <w:szCs w:val="22"/>
          <w:highlight w:val="none"/>
        </w:rPr>
      </w:pPr>
      <w:r>
        <w:rPr>
          <w:rFonts w:hint="eastAsia"/>
          <w:color w:val="auto"/>
          <w:sz w:val="24"/>
          <w:szCs w:val="22"/>
          <w:highlight w:val="none"/>
        </w:rPr>
        <w:t xml:space="preserve">采购人名称：                                         </w:t>
      </w:r>
    </w:p>
    <w:p w14:paraId="5969C54E">
      <w:pPr>
        <w:pStyle w:val="38"/>
        <w:ind w:firstLine="480"/>
        <w:rPr>
          <w:color w:val="auto"/>
          <w:sz w:val="24"/>
          <w:szCs w:val="22"/>
          <w:highlight w:val="none"/>
        </w:rPr>
      </w:pPr>
      <w:r>
        <w:rPr>
          <w:rFonts w:hint="eastAsia"/>
          <w:color w:val="auto"/>
          <w:sz w:val="24"/>
          <w:szCs w:val="22"/>
          <w:highlight w:val="none"/>
        </w:rPr>
        <w:t xml:space="preserve">招标文件获取日期：                                           </w:t>
      </w:r>
    </w:p>
    <w:p w14:paraId="49C31E19">
      <w:pPr>
        <w:pStyle w:val="38"/>
        <w:ind w:firstLine="480"/>
        <w:rPr>
          <w:color w:val="auto"/>
          <w:sz w:val="24"/>
          <w:szCs w:val="22"/>
          <w:highlight w:val="none"/>
        </w:rPr>
      </w:pPr>
      <w:r>
        <w:rPr>
          <w:rFonts w:hint="eastAsia"/>
          <w:color w:val="auto"/>
          <w:sz w:val="24"/>
          <w:szCs w:val="22"/>
          <w:highlight w:val="none"/>
        </w:rPr>
        <w:t>三、质疑事项具体内容</w:t>
      </w:r>
    </w:p>
    <w:p w14:paraId="5D6679F9">
      <w:pPr>
        <w:pStyle w:val="38"/>
        <w:ind w:firstLine="480"/>
        <w:rPr>
          <w:color w:val="auto"/>
          <w:sz w:val="24"/>
          <w:szCs w:val="22"/>
          <w:highlight w:val="none"/>
        </w:rPr>
      </w:pPr>
      <w:r>
        <w:rPr>
          <w:rFonts w:hint="eastAsia"/>
          <w:color w:val="auto"/>
          <w:sz w:val="24"/>
          <w:szCs w:val="22"/>
          <w:highlight w:val="none"/>
        </w:rPr>
        <w:t xml:space="preserve">质疑事项1：                                         </w:t>
      </w:r>
    </w:p>
    <w:p w14:paraId="3F623DF1">
      <w:pPr>
        <w:pStyle w:val="38"/>
        <w:ind w:firstLine="480"/>
        <w:rPr>
          <w:color w:val="auto"/>
          <w:sz w:val="24"/>
          <w:szCs w:val="22"/>
          <w:highlight w:val="none"/>
        </w:rPr>
      </w:pPr>
      <w:r>
        <w:rPr>
          <w:rFonts w:hint="eastAsia"/>
          <w:color w:val="auto"/>
          <w:sz w:val="24"/>
          <w:szCs w:val="22"/>
          <w:highlight w:val="none"/>
        </w:rPr>
        <w:t xml:space="preserve">事实依据：                                          </w:t>
      </w:r>
    </w:p>
    <w:p w14:paraId="36EF2363">
      <w:pPr>
        <w:pStyle w:val="38"/>
        <w:ind w:firstLine="480"/>
        <w:rPr>
          <w:color w:val="auto"/>
          <w:sz w:val="24"/>
          <w:szCs w:val="22"/>
          <w:highlight w:val="none"/>
        </w:rPr>
      </w:pPr>
    </w:p>
    <w:p w14:paraId="0F2D68D5">
      <w:pPr>
        <w:pStyle w:val="38"/>
        <w:ind w:firstLine="480"/>
        <w:rPr>
          <w:color w:val="auto"/>
          <w:sz w:val="24"/>
          <w:szCs w:val="22"/>
          <w:highlight w:val="none"/>
        </w:rPr>
      </w:pPr>
      <w:r>
        <w:rPr>
          <w:rFonts w:hint="eastAsia"/>
          <w:color w:val="auto"/>
          <w:sz w:val="24"/>
          <w:szCs w:val="22"/>
          <w:highlight w:val="none"/>
        </w:rPr>
        <w:t xml:space="preserve">法律依据：                                          </w:t>
      </w:r>
    </w:p>
    <w:p w14:paraId="5C1B5B04">
      <w:pPr>
        <w:pStyle w:val="38"/>
        <w:ind w:firstLine="480"/>
        <w:rPr>
          <w:color w:val="auto"/>
          <w:sz w:val="24"/>
          <w:szCs w:val="22"/>
          <w:highlight w:val="none"/>
        </w:rPr>
      </w:pPr>
    </w:p>
    <w:p w14:paraId="207F85AB">
      <w:pPr>
        <w:pStyle w:val="38"/>
        <w:ind w:firstLine="480"/>
        <w:rPr>
          <w:color w:val="auto"/>
          <w:sz w:val="24"/>
          <w:szCs w:val="22"/>
          <w:highlight w:val="none"/>
        </w:rPr>
      </w:pPr>
      <w:r>
        <w:rPr>
          <w:rFonts w:hint="eastAsia"/>
          <w:color w:val="auto"/>
          <w:sz w:val="24"/>
          <w:szCs w:val="22"/>
          <w:highlight w:val="none"/>
        </w:rPr>
        <w:t>质疑事项2</w:t>
      </w:r>
    </w:p>
    <w:p w14:paraId="5737A319">
      <w:pPr>
        <w:pStyle w:val="38"/>
        <w:ind w:firstLine="480"/>
        <w:rPr>
          <w:color w:val="auto"/>
          <w:sz w:val="24"/>
          <w:szCs w:val="22"/>
          <w:highlight w:val="none"/>
        </w:rPr>
      </w:pPr>
      <w:r>
        <w:rPr>
          <w:rFonts w:hint="eastAsia"/>
          <w:color w:val="auto"/>
          <w:sz w:val="24"/>
          <w:szCs w:val="22"/>
          <w:highlight w:val="none"/>
        </w:rPr>
        <w:t>……</w:t>
      </w:r>
    </w:p>
    <w:p w14:paraId="0C78D5D8">
      <w:pPr>
        <w:pStyle w:val="38"/>
        <w:ind w:firstLine="480"/>
        <w:rPr>
          <w:color w:val="auto"/>
          <w:sz w:val="24"/>
          <w:szCs w:val="22"/>
          <w:highlight w:val="none"/>
        </w:rPr>
      </w:pPr>
      <w:r>
        <w:rPr>
          <w:rFonts w:hint="eastAsia"/>
          <w:color w:val="auto"/>
          <w:sz w:val="24"/>
          <w:szCs w:val="22"/>
          <w:highlight w:val="none"/>
        </w:rPr>
        <w:t>四、与质疑事项相关的质疑请求</w:t>
      </w:r>
    </w:p>
    <w:p w14:paraId="12B07831">
      <w:pPr>
        <w:pStyle w:val="38"/>
        <w:ind w:firstLine="480"/>
        <w:rPr>
          <w:color w:val="auto"/>
          <w:sz w:val="24"/>
          <w:szCs w:val="22"/>
          <w:highlight w:val="none"/>
        </w:rPr>
      </w:pPr>
      <w:r>
        <w:rPr>
          <w:rFonts w:hint="eastAsia"/>
          <w:color w:val="auto"/>
          <w:sz w:val="24"/>
          <w:szCs w:val="22"/>
          <w:highlight w:val="none"/>
        </w:rPr>
        <w:t xml:space="preserve">请求：                                               </w:t>
      </w:r>
    </w:p>
    <w:p w14:paraId="16FFB689">
      <w:pPr>
        <w:pStyle w:val="38"/>
        <w:ind w:firstLine="480"/>
        <w:rPr>
          <w:color w:val="auto"/>
          <w:sz w:val="24"/>
          <w:szCs w:val="22"/>
          <w:highlight w:val="none"/>
        </w:rPr>
      </w:pPr>
      <w:r>
        <w:rPr>
          <w:rFonts w:hint="eastAsia"/>
          <w:color w:val="auto"/>
          <w:sz w:val="24"/>
          <w:szCs w:val="22"/>
          <w:highlight w:val="none"/>
        </w:rPr>
        <w:t xml:space="preserve">签字(签章)：                   公章：                      </w:t>
      </w:r>
    </w:p>
    <w:p w14:paraId="6B0A6B3A">
      <w:pPr>
        <w:pStyle w:val="38"/>
        <w:ind w:firstLine="480"/>
        <w:rPr>
          <w:color w:val="auto"/>
          <w:sz w:val="24"/>
          <w:szCs w:val="22"/>
          <w:highlight w:val="none"/>
        </w:rPr>
      </w:pPr>
      <w:r>
        <w:rPr>
          <w:rFonts w:hint="eastAsia"/>
          <w:color w:val="auto"/>
          <w:sz w:val="24"/>
          <w:szCs w:val="22"/>
          <w:highlight w:val="none"/>
        </w:rPr>
        <w:t xml:space="preserve">日期：    </w:t>
      </w:r>
    </w:p>
    <w:p w14:paraId="09C07886">
      <w:pPr>
        <w:rPr>
          <w:color w:val="auto"/>
          <w:sz w:val="24"/>
          <w:szCs w:val="22"/>
          <w:highlight w:val="none"/>
        </w:rPr>
      </w:pPr>
      <w:r>
        <w:rPr>
          <w:rFonts w:hint="eastAsia"/>
          <w:color w:val="auto"/>
          <w:sz w:val="24"/>
          <w:szCs w:val="22"/>
          <w:highlight w:val="none"/>
        </w:rPr>
        <w:br w:type="page"/>
      </w:r>
    </w:p>
    <w:p w14:paraId="37DC6840">
      <w:pPr>
        <w:pStyle w:val="38"/>
        <w:ind w:firstLine="480"/>
        <w:rPr>
          <w:color w:val="auto"/>
          <w:sz w:val="24"/>
          <w:szCs w:val="22"/>
          <w:highlight w:val="none"/>
        </w:rPr>
      </w:pPr>
      <w:r>
        <w:rPr>
          <w:rFonts w:hint="eastAsia"/>
          <w:color w:val="auto"/>
          <w:sz w:val="24"/>
          <w:szCs w:val="22"/>
          <w:highlight w:val="none"/>
        </w:rPr>
        <w:t>质疑函制作说明：</w:t>
      </w:r>
    </w:p>
    <w:p w14:paraId="1D98223D">
      <w:pPr>
        <w:pStyle w:val="38"/>
        <w:ind w:firstLine="480"/>
        <w:rPr>
          <w:color w:val="auto"/>
          <w:sz w:val="24"/>
          <w:szCs w:val="22"/>
          <w:highlight w:val="none"/>
        </w:rPr>
      </w:pPr>
      <w:r>
        <w:rPr>
          <w:rFonts w:hint="eastAsia"/>
          <w:color w:val="auto"/>
          <w:sz w:val="24"/>
          <w:szCs w:val="22"/>
          <w:highlight w:val="none"/>
        </w:rPr>
        <w:t>1.供应商提出质疑时，应提交质疑函和必要的证明材料。</w:t>
      </w:r>
    </w:p>
    <w:p w14:paraId="70664078">
      <w:pPr>
        <w:pStyle w:val="38"/>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DC43248">
      <w:pPr>
        <w:pStyle w:val="38"/>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14:paraId="0AC9C336">
      <w:pPr>
        <w:pStyle w:val="38"/>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14:paraId="795293EE">
      <w:pPr>
        <w:pStyle w:val="38"/>
        <w:ind w:firstLine="480"/>
        <w:rPr>
          <w:color w:val="auto"/>
          <w:sz w:val="24"/>
          <w:szCs w:val="22"/>
          <w:highlight w:val="none"/>
        </w:rPr>
      </w:pPr>
      <w:r>
        <w:rPr>
          <w:rFonts w:hint="eastAsia"/>
          <w:color w:val="auto"/>
          <w:sz w:val="24"/>
          <w:szCs w:val="22"/>
          <w:highlight w:val="none"/>
        </w:rPr>
        <w:t>5.质疑函的质疑请求应与质疑事项相关。</w:t>
      </w:r>
    </w:p>
    <w:p w14:paraId="7001FCD5">
      <w:pPr>
        <w:pStyle w:val="38"/>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14:paraId="174D5C76">
      <w:pPr>
        <w:rPr>
          <w:color w:val="auto"/>
          <w:highlight w:val="none"/>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bookmarkStart w:id="152" w:name="_Toc99731325"/>
      <w:bookmarkStart w:id="153" w:name="_Toc30959"/>
      <w:bookmarkStart w:id="154" w:name="_Toc99731210"/>
      <w:bookmarkStart w:id="155" w:name="_Toc24870"/>
      <w:bookmarkStart w:id="156" w:name="_Toc95234398"/>
      <w:bookmarkStart w:id="157" w:name="_Toc6920"/>
      <w:bookmarkStart w:id="158" w:name="_Toc105522757"/>
    </w:p>
    <w:bookmarkEnd w:id="152"/>
    <w:bookmarkEnd w:id="153"/>
    <w:bookmarkEnd w:id="154"/>
    <w:bookmarkEnd w:id="155"/>
    <w:bookmarkEnd w:id="156"/>
    <w:bookmarkEnd w:id="157"/>
    <w:bookmarkEnd w:id="158"/>
    <w:p w14:paraId="0DE0CFB2">
      <w:pPr>
        <w:pStyle w:val="2"/>
        <w:rPr>
          <w:rFonts w:ascii="宋体" w:hAnsi="宋体" w:cs="宋体"/>
          <w:color w:val="auto"/>
          <w:highlight w:val="none"/>
        </w:rPr>
      </w:pPr>
      <w:bookmarkStart w:id="159" w:name="_Toc26259"/>
      <w:r>
        <w:rPr>
          <w:rFonts w:hint="eastAsia" w:ascii="宋体" w:hAnsi="宋体" w:cs="宋体"/>
          <w:color w:val="auto"/>
          <w:highlight w:val="none"/>
        </w:rPr>
        <w:t>第六章 项目需求</w:t>
      </w:r>
      <w:bookmarkEnd w:id="159"/>
    </w:p>
    <w:p w14:paraId="048C9551">
      <w:pPr>
        <w:pStyle w:val="128"/>
        <w:spacing w:line="360" w:lineRule="auto"/>
        <w:ind w:left="0"/>
        <w:rPr>
          <w:rFonts w:ascii="宋体" w:hAnsi="宋体" w:cs="宋体"/>
          <w:b/>
          <w:bCs/>
          <w:color w:val="auto"/>
          <w:szCs w:val="32"/>
          <w:highlight w:val="none"/>
          <w:lang w:eastAsia="zh-CN"/>
        </w:rPr>
      </w:pPr>
      <w:r>
        <w:rPr>
          <w:rFonts w:hint="eastAsia" w:ascii="宋体" w:hAnsi="宋体" w:cs="宋体"/>
          <w:b/>
          <w:bCs/>
          <w:color w:val="auto"/>
          <w:szCs w:val="32"/>
          <w:highlight w:val="none"/>
          <w:lang w:eastAsia="zh-CN"/>
        </w:rPr>
        <w:t>一、采购清单目录</w:t>
      </w:r>
    </w:p>
    <w:tbl>
      <w:tblPr>
        <w:tblStyle w:val="40"/>
        <w:tblpPr w:leftFromText="180" w:rightFromText="180" w:vertAnchor="text" w:horzAnchor="page" w:tblpX="656" w:tblpY="516"/>
        <w:tblOverlap w:val="never"/>
        <w:tblW w:w="10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1000"/>
        <w:gridCol w:w="5968"/>
        <w:gridCol w:w="451"/>
        <w:gridCol w:w="613"/>
        <w:gridCol w:w="968"/>
        <w:gridCol w:w="468"/>
      </w:tblGrid>
      <w:tr w14:paraId="22DE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65" w:type="dxa"/>
            <w:vAlign w:val="center"/>
          </w:tcPr>
          <w:p w14:paraId="2048FA00">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序号</w:t>
            </w:r>
          </w:p>
        </w:tc>
        <w:tc>
          <w:tcPr>
            <w:tcW w:w="1000" w:type="dxa"/>
            <w:vAlign w:val="center"/>
          </w:tcPr>
          <w:p w14:paraId="2AABA6F8">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采购品目名称</w:t>
            </w:r>
          </w:p>
        </w:tc>
        <w:tc>
          <w:tcPr>
            <w:tcW w:w="5968" w:type="dxa"/>
            <w:vAlign w:val="center"/>
          </w:tcPr>
          <w:p w14:paraId="16315130">
            <w:pPr>
              <w:widowControl/>
              <w:jc w:val="center"/>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技术参数</w:t>
            </w:r>
          </w:p>
        </w:tc>
        <w:tc>
          <w:tcPr>
            <w:tcW w:w="451" w:type="dxa"/>
            <w:vAlign w:val="center"/>
          </w:tcPr>
          <w:p w14:paraId="7D0450C9">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单位</w:t>
            </w:r>
          </w:p>
        </w:tc>
        <w:tc>
          <w:tcPr>
            <w:tcW w:w="613" w:type="dxa"/>
            <w:vAlign w:val="center"/>
          </w:tcPr>
          <w:p w14:paraId="299C319F">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采购数量</w:t>
            </w:r>
          </w:p>
        </w:tc>
        <w:tc>
          <w:tcPr>
            <w:tcW w:w="968" w:type="dxa"/>
            <w:vAlign w:val="center"/>
          </w:tcPr>
          <w:p w14:paraId="68286B50">
            <w:pPr>
              <w:widowControl/>
              <w:jc w:val="center"/>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控制单价</w:t>
            </w:r>
          </w:p>
          <w:p w14:paraId="71A9D1FF">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kern w:val="0"/>
                <w:sz w:val="18"/>
                <w:szCs w:val="18"/>
                <w:highlight w:val="none"/>
                <w:lang w:bidi="ar"/>
              </w:rPr>
              <w:t>（万元）</w:t>
            </w:r>
          </w:p>
        </w:tc>
        <w:tc>
          <w:tcPr>
            <w:tcW w:w="468" w:type="dxa"/>
            <w:vAlign w:val="center"/>
          </w:tcPr>
          <w:p w14:paraId="1AEA2018">
            <w:pPr>
              <w:widowControl/>
              <w:jc w:val="center"/>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备注</w:t>
            </w:r>
          </w:p>
        </w:tc>
      </w:tr>
      <w:tr w14:paraId="67FF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8" w:hRule="atLeast"/>
        </w:trPr>
        <w:tc>
          <w:tcPr>
            <w:tcW w:w="565" w:type="dxa"/>
            <w:vAlign w:val="center"/>
          </w:tcPr>
          <w:p w14:paraId="3ACB9D05">
            <w:pPr>
              <w:pStyle w:val="22"/>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1000" w:type="dxa"/>
            <w:vAlign w:val="center"/>
          </w:tcPr>
          <w:p w14:paraId="3053A68E">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纳米粒度及电位分析仪</w:t>
            </w:r>
          </w:p>
        </w:tc>
        <w:tc>
          <w:tcPr>
            <w:tcW w:w="5968" w:type="dxa"/>
            <w:vAlign w:val="center"/>
          </w:tcPr>
          <w:p w14:paraId="4EE39149">
            <w:pPr>
              <w:widowControl/>
              <w:jc w:val="left"/>
              <w:textAlignment w:val="center"/>
              <w:rPr>
                <w:rFonts w:hint="eastAsia"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1. 测量范围：0.3nm - 10μm；</w:t>
            </w:r>
          </w:p>
          <w:p w14:paraId="0C5C27EC">
            <w:pPr>
              <w:widowControl/>
              <w:jc w:val="left"/>
              <w:textAlignment w:val="center"/>
              <w:rPr>
                <w:rFonts w:hint="eastAsia"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2. 重复性误差：≤ 1%；；</w:t>
            </w:r>
          </w:p>
          <w:p w14:paraId="676F28C7">
            <w:pPr>
              <w:widowControl/>
              <w:jc w:val="left"/>
              <w:textAlignment w:val="center"/>
              <w:rPr>
                <w:rFonts w:hint="eastAsia"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3. 最小样品容积：20µL；</w:t>
            </w:r>
          </w:p>
          <w:p w14:paraId="539AFF81">
            <w:pPr>
              <w:widowControl/>
              <w:jc w:val="left"/>
              <w:textAlignment w:val="center"/>
              <w:rPr>
                <w:rFonts w:hint="eastAsia"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4. 最小样品浓度：≤ 1mg/mL；</w:t>
            </w:r>
          </w:p>
          <w:p w14:paraId="309C8D04">
            <w:pPr>
              <w:widowControl/>
              <w:jc w:val="left"/>
              <w:textAlignment w:val="center"/>
              <w:rPr>
                <w:rFonts w:hint="eastAsia"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5. 最高样品浓度：40% w/v ；</w:t>
            </w:r>
          </w:p>
          <w:p w14:paraId="39A572D6">
            <w:pPr>
              <w:widowControl/>
              <w:jc w:val="left"/>
              <w:textAlignment w:val="center"/>
              <w:rPr>
                <w:rFonts w:hint="eastAsia" w:asciiTheme="minorEastAsia" w:hAnsiTheme="minorEastAsia" w:eastAsiaTheme="minorEastAsia" w:cstheme="minorEastAsia"/>
                <w:color w:val="auto"/>
                <w:kern w:val="0"/>
                <w:sz w:val="18"/>
                <w:szCs w:val="18"/>
                <w:highlight w:val="none"/>
                <w:lang w:eastAsia="zh-CN" w:bidi="ar"/>
              </w:rPr>
            </w:pPr>
            <w:r>
              <w:rPr>
                <w:rFonts w:hint="eastAsia" w:asciiTheme="minorEastAsia" w:hAnsiTheme="minorEastAsia" w:eastAsiaTheme="minorEastAsia" w:cstheme="minorEastAsia"/>
                <w:color w:val="auto"/>
                <w:kern w:val="0"/>
                <w:sz w:val="18"/>
                <w:szCs w:val="18"/>
                <w:highlight w:val="none"/>
                <w:lang w:bidi="ar"/>
              </w:rPr>
              <w:t>6. 最小子测试时间：1.68s</w:t>
            </w:r>
            <w:r>
              <w:rPr>
                <w:rFonts w:hint="eastAsia" w:asciiTheme="minorEastAsia" w:hAnsiTheme="minorEastAsia" w:eastAsiaTheme="minorEastAsia" w:cstheme="minorEastAsia"/>
                <w:color w:val="auto"/>
                <w:kern w:val="0"/>
                <w:sz w:val="18"/>
                <w:szCs w:val="18"/>
                <w:highlight w:val="none"/>
                <w:lang w:eastAsia="zh-CN" w:bidi="ar"/>
              </w:rPr>
              <w:t>。</w:t>
            </w:r>
          </w:p>
          <w:p w14:paraId="1B333D02">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 xml:space="preserve">7.Zeta电位测试（电泳光散射ELS模式，原理：相位分析光散射技术具有快慢场相图结合）电导率范围：0 - ≥270 mS/cm依赖于样品，Zeta测试粒径范围：1 nm – &gt;120 μm测试时间模式为手动或自动，温控范围：-15°C - 120°C  +/- 0.1°C。 </w:t>
            </w:r>
          </w:p>
          <w:p w14:paraId="17B83139">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 xml:space="preserve">8.具有流动模式或恒流模式测试功能，具备分子量测试功能分子量范围：342 Da – 2 x 107 Da（依赖于样品） </w:t>
            </w:r>
          </w:p>
          <w:p w14:paraId="104513BA">
            <w:pPr>
              <w:widowControl/>
              <w:jc w:val="left"/>
              <w:textAlignment w:val="center"/>
              <w:rPr>
                <w:rFonts w:asciiTheme="minorEastAsia" w:hAnsiTheme="minorEastAsia" w:eastAsiaTheme="minorEastAsia" w:cstheme="minorEastAsia"/>
                <w:color w:val="auto"/>
                <w:kern w:val="0"/>
                <w:sz w:val="18"/>
                <w:szCs w:val="18"/>
                <w:highlight w:val="none"/>
                <w:lang w:bidi="ar"/>
              </w:rPr>
            </w:pPr>
            <w:r>
              <w:rPr>
                <w:rFonts w:hint="eastAsia" w:asciiTheme="minorEastAsia" w:hAnsiTheme="minorEastAsia" w:eastAsiaTheme="minorEastAsia" w:cstheme="minorEastAsia"/>
                <w:color w:val="auto"/>
                <w:kern w:val="0"/>
                <w:sz w:val="18"/>
                <w:szCs w:val="18"/>
                <w:highlight w:val="none"/>
                <w:lang w:bidi="ar"/>
              </w:rPr>
              <w:t>9.具有微流变测试能力可以得到均方位移、复数模量、弹性模量、粘性模量、蠕变柔量，具有趋势测试功能：时间和温度（可自动计算温度转变点Tagg）。</w:t>
            </w:r>
          </w:p>
        </w:tc>
        <w:tc>
          <w:tcPr>
            <w:tcW w:w="451" w:type="dxa"/>
            <w:vAlign w:val="center"/>
          </w:tcPr>
          <w:p w14:paraId="45128D01">
            <w:pPr>
              <w:widowControl/>
              <w:jc w:val="center"/>
              <w:textAlignment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台</w:t>
            </w:r>
          </w:p>
        </w:tc>
        <w:tc>
          <w:tcPr>
            <w:tcW w:w="613" w:type="dxa"/>
            <w:vAlign w:val="center"/>
          </w:tcPr>
          <w:p w14:paraId="73B82F4F">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968" w:type="dxa"/>
            <w:vAlign w:val="center"/>
          </w:tcPr>
          <w:p w14:paraId="7BFBE2A1">
            <w:pPr>
              <w:widowControl/>
              <w:jc w:val="center"/>
              <w:textAlignment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28.2</w:t>
            </w:r>
          </w:p>
        </w:tc>
        <w:tc>
          <w:tcPr>
            <w:tcW w:w="468" w:type="dxa"/>
            <w:vAlign w:val="center"/>
          </w:tcPr>
          <w:p w14:paraId="0932414A">
            <w:pPr>
              <w:widowControl/>
              <w:jc w:val="center"/>
              <w:textAlignment w:val="center"/>
              <w:rPr>
                <w:rFonts w:asciiTheme="minorEastAsia" w:hAnsiTheme="minorEastAsia" w:eastAsiaTheme="minorEastAsia" w:cstheme="minorEastAsia"/>
                <w:color w:val="auto"/>
                <w:kern w:val="0"/>
                <w:sz w:val="18"/>
                <w:szCs w:val="18"/>
                <w:highlight w:val="none"/>
                <w:lang w:bidi="ar"/>
              </w:rPr>
            </w:pPr>
          </w:p>
        </w:tc>
      </w:tr>
    </w:tbl>
    <w:p w14:paraId="4ADF9518">
      <w:pPr>
        <w:pStyle w:val="22"/>
        <w:rPr>
          <w:rFonts w:hAnsi="宋体" w:cs="宋体"/>
          <w:b/>
          <w:bCs/>
          <w:color w:val="auto"/>
          <w:highlight w:val="none"/>
        </w:rPr>
      </w:pPr>
    </w:p>
    <w:p w14:paraId="7E67A4CA">
      <w:pPr>
        <w:pStyle w:val="22"/>
        <w:spacing w:line="360" w:lineRule="auto"/>
        <w:rPr>
          <w:rFonts w:hAnsi="宋体" w:cs="宋体"/>
          <w:b/>
          <w:bCs/>
          <w:color w:val="auto"/>
          <w:highlight w:val="none"/>
        </w:rPr>
      </w:pPr>
      <w:r>
        <w:rPr>
          <w:rFonts w:hint="eastAsia" w:hAnsi="宋体" w:cs="宋体"/>
          <w:b/>
          <w:bCs/>
          <w:color w:val="auto"/>
          <w:highlight w:val="none"/>
        </w:rPr>
        <w:t>二、是否接受进口产品投标</w:t>
      </w:r>
    </w:p>
    <w:p w14:paraId="6929C8E0">
      <w:pPr>
        <w:pStyle w:val="22"/>
        <w:spacing w:line="360" w:lineRule="auto"/>
        <w:ind w:firstLine="424" w:firstLineChars="200"/>
        <w:rPr>
          <w:rFonts w:hAnsi="宋体" w:cs="宋体"/>
          <w:color w:val="auto"/>
          <w:highlight w:val="none"/>
        </w:rPr>
      </w:pPr>
      <w:r>
        <w:rPr>
          <w:rFonts w:hint="eastAsia" w:hAnsi="宋体" w:cs="宋体"/>
          <w:color w:val="auto"/>
          <w:highlight w:val="none"/>
        </w:rPr>
        <w:t>本项目不接受进口产品投标</w:t>
      </w:r>
    </w:p>
    <w:p w14:paraId="030C1E02">
      <w:pPr>
        <w:pStyle w:val="22"/>
        <w:spacing w:line="360" w:lineRule="auto"/>
        <w:rPr>
          <w:rFonts w:hAnsi="宋体" w:cs="宋体"/>
          <w:b/>
          <w:bCs/>
          <w:color w:val="auto"/>
          <w:highlight w:val="none"/>
        </w:rPr>
      </w:pPr>
      <w:r>
        <w:rPr>
          <w:rFonts w:hint="eastAsia" w:hAnsi="宋体" w:cs="宋体"/>
          <w:b/>
          <w:bCs/>
          <w:color w:val="auto"/>
          <w:highlight w:val="none"/>
        </w:rPr>
        <w:t>三、一般性技术及服务标准</w:t>
      </w:r>
    </w:p>
    <w:p w14:paraId="02E7E409">
      <w:pPr>
        <w:spacing w:line="360" w:lineRule="auto"/>
        <w:ind w:firstLine="424" w:firstLineChars="200"/>
        <w:rPr>
          <w:rFonts w:hAnsi="宋体" w:cs="宋体"/>
          <w:color w:val="auto"/>
          <w:highlight w:val="none"/>
        </w:rPr>
      </w:pPr>
      <w:r>
        <w:rPr>
          <w:rFonts w:hint="eastAsia" w:hAnsi="宋体" w:cs="宋体"/>
          <w:color w:val="auto"/>
          <w:highlight w:val="none"/>
        </w:rPr>
        <w:t>1、供货时同步提供全套原厂中文版操作指导手册、日常维护保养指南、出厂合格证明及计量校准溯源文件；</w:t>
      </w:r>
    </w:p>
    <w:p w14:paraId="1523CE51">
      <w:pPr>
        <w:pStyle w:val="22"/>
        <w:spacing w:line="360" w:lineRule="auto"/>
        <w:ind w:firstLine="424" w:firstLineChars="200"/>
        <w:rPr>
          <w:rFonts w:hAnsi="宋体" w:cs="宋体"/>
          <w:color w:val="auto"/>
          <w:highlight w:val="none"/>
        </w:rPr>
      </w:pPr>
      <w:r>
        <w:rPr>
          <w:rFonts w:hint="eastAsia" w:hAnsi="宋体" w:cs="宋体"/>
          <w:color w:val="auto"/>
          <w:highlight w:val="none"/>
        </w:rPr>
        <w:t>2、原厂提供优于基础年限的整机质保承诺，质保期内配套系统软件终身免费迭代升级，终身提供基础技术更新与远程故障诊断服务；</w:t>
      </w:r>
    </w:p>
    <w:p w14:paraId="19AEC7E0">
      <w:pPr>
        <w:pStyle w:val="22"/>
        <w:spacing w:line="360" w:lineRule="auto"/>
        <w:ind w:firstLine="424" w:firstLineChars="200"/>
        <w:rPr>
          <w:rFonts w:hAnsi="宋体" w:cs="宋体"/>
          <w:color w:val="auto"/>
          <w:highlight w:val="none"/>
        </w:rPr>
      </w:pPr>
      <w:r>
        <w:rPr>
          <w:rFonts w:hint="eastAsia" w:hAnsi="宋体" w:cs="宋体"/>
          <w:color w:val="auto"/>
          <w:highlight w:val="none"/>
        </w:rPr>
        <w:t>3、供应商免费提供上门就位安装、整机性能精准校准，可提供多场次专项实操与进阶应用培训，全程提供 7×24 小时应急售后响应与长效上门技术保障；</w:t>
      </w:r>
    </w:p>
    <w:p w14:paraId="61368F0B">
      <w:pPr>
        <w:pStyle w:val="22"/>
        <w:spacing w:line="360" w:lineRule="auto"/>
        <w:ind w:firstLine="424" w:firstLineChars="200"/>
        <w:rPr>
          <w:rFonts w:hAnsi="宋体" w:cs="宋体"/>
          <w:color w:val="auto"/>
          <w:highlight w:val="none"/>
        </w:rPr>
      </w:pPr>
      <w:r>
        <w:rPr>
          <w:rFonts w:hint="eastAsia" w:hAnsi="宋体" w:cs="宋体"/>
          <w:color w:val="auto"/>
          <w:highlight w:val="none"/>
        </w:rPr>
        <w:t>4、设备适配水相、有机相等多种测试体系，可兼容不同浓度、不同类型样品稳定检测，具备良好的方法拓展与科研适配能力。</w:t>
      </w:r>
    </w:p>
    <w:p w14:paraId="051A8943">
      <w:pPr>
        <w:pStyle w:val="22"/>
        <w:spacing w:line="360" w:lineRule="auto"/>
        <w:rPr>
          <w:rFonts w:hAnsi="宋体" w:cs="宋体"/>
          <w:b/>
          <w:bCs/>
          <w:color w:val="auto"/>
          <w:highlight w:val="none"/>
        </w:rPr>
      </w:pPr>
      <w:r>
        <w:rPr>
          <w:rFonts w:hint="eastAsia" w:hAnsi="宋体" w:cs="宋体"/>
          <w:b/>
          <w:bCs/>
          <w:color w:val="auto"/>
          <w:highlight w:val="none"/>
        </w:rPr>
        <w:t>四、质量要求</w:t>
      </w:r>
    </w:p>
    <w:p w14:paraId="66107EB1">
      <w:pPr>
        <w:spacing w:line="360" w:lineRule="auto"/>
        <w:ind w:firstLine="424" w:firstLineChars="200"/>
        <w:rPr>
          <w:rFonts w:hAnsi="宋体" w:cs="宋体"/>
          <w:color w:val="auto"/>
          <w:highlight w:val="none"/>
        </w:rPr>
      </w:pPr>
      <w:r>
        <w:rPr>
          <w:rFonts w:hint="eastAsia" w:hAnsi="宋体" w:cs="宋体"/>
          <w:color w:val="auto"/>
          <w:highlight w:val="none"/>
        </w:rPr>
        <w:t>1、投标人提供的物品必须是原厂生产的、全新的、未使用过的(包括零部件)，并完全符合原厂质量检测标准和国家检测标准以及标书规定的质量规格和性能要求，具有一定的先进性和性能可靠性。投标人遵守有关部门和厂家承诺的售后服务及采购文件的要求，保证货物经过正确安装、合理操作和维护保养，在货物寿命期内运转良好。</w:t>
      </w:r>
    </w:p>
    <w:p w14:paraId="21D944B6">
      <w:pPr>
        <w:spacing w:line="360" w:lineRule="auto"/>
        <w:ind w:firstLine="424" w:firstLineChars="200"/>
        <w:rPr>
          <w:rFonts w:hAnsi="宋体" w:cs="宋体"/>
          <w:color w:val="auto"/>
          <w:highlight w:val="none"/>
        </w:rPr>
      </w:pPr>
      <w:r>
        <w:rPr>
          <w:rFonts w:hint="eastAsia" w:hAnsi="宋体" w:cs="宋体"/>
          <w:color w:val="auto"/>
          <w:highlight w:val="none"/>
        </w:rPr>
        <w:t>2、技术要求</w:t>
      </w:r>
    </w:p>
    <w:p w14:paraId="272DCFFD">
      <w:pPr>
        <w:spacing w:line="360" w:lineRule="auto"/>
        <w:ind w:firstLine="424" w:firstLineChars="200"/>
        <w:rPr>
          <w:rFonts w:hAnsi="宋体" w:cs="宋体"/>
          <w:color w:val="auto"/>
          <w:highlight w:val="none"/>
        </w:rPr>
      </w:pPr>
      <w:r>
        <w:rPr>
          <w:rFonts w:hint="eastAsia" w:hAnsi="宋体" w:cs="宋体"/>
          <w:color w:val="auto"/>
          <w:highlight w:val="none"/>
        </w:rPr>
        <w:t>投标人所提供的货物性能，型号规格应满足采购文件中的型号规格及要求。</w:t>
      </w:r>
    </w:p>
    <w:p w14:paraId="2390D688">
      <w:pPr>
        <w:spacing w:line="360" w:lineRule="auto"/>
        <w:ind w:firstLine="424" w:firstLineChars="200"/>
        <w:rPr>
          <w:rFonts w:hAnsi="宋体" w:cs="宋体"/>
          <w:color w:val="auto"/>
          <w:highlight w:val="none"/>
        </w:rPr>
      </w:pPr>
      <w:r>
        <w:rPr>
          <w:rFonts w:hint="eastAsia" w:hAnsi="宋体" w:cs="宋体"/>
          <w:color w:val="auto"/>
          <w:highlight w:val="none"/>
        </w:rPr>
        <w:t>本采购项目所述型号规格，应视为保证涉及运行所需的最低要求，如有遗漏，投标人应予以补充，否则一旦中标将视为投标人认同遗漏部分并免费提供。</w:t>
      </w:r>
    </w:p>
    <w:p w14:paraId="0682ED09">
      <w:pPr>
        <w:spacing w:line="360" w:lineRule="auto"/>
        <w:ind w:firstLine="424" w:firstLineChars="200"/>
        <w:rPr>
          <w:rFonts w:hAnsi="宋体" w:cs="宋体"/>
          <w:color w:val="auto"/>
          <w:highlight w:val="none"/>
        </w:rPr>
      </w:pPr>
      <w:r>
        <w:rPr>
          <w:rFonts w:hint="eastAsia" w:hAnsi="宋体" w:cs="宋体"/>
          <w:color w:val="auto"/>
          <w:highlight w:val="none"/>
        </w:rPr>
        <w:t>货物验收前，中标人须免费提供完整的技术资料(包括货物制造厂家授权书、使用说明书、安装手册、维修手册、用户手册、出厂明细表或装箱单、制造厂质量合格证书及其他相关文件资料)。</w:t>
      </w:r>
    </w:p>
    <w:p w14:paraId="67CC2CA3">
      <w:pPr>
        <w:spacing w:line="360" w:lineRule="auto"/>
        <w:ind w:firstLine="424" w:firstLineChars="200"/>
        <w:rPr>
          <w:rFonts w:hAnsi="宋体" w:cs="宋体"/>
          <w:color w:val="auto"/>
          <w:highlight w:val="none"/>
        </w:rPr>
      </w:pPr>
      <w:r>
        <w:rPr>
          <w:rFonts w:hint="eastAsia" w:hAnsi="宋体" w:cs="宋体"/>
          <w:color w:val="auto"/>
          <w:highlight w:val="none"/>
        </w:rPr>
        <w:t>3、知识产权要求</w:t>
      </w:r>
    </w:p>
    <w:p w14:paraId="1ED9562A">
      <w:pPr>
        <w:spacing w:line="360" w:lineRule="auto"/>
        <w:ind w:firstLine="424" w:firstLineChars="200"/>
        <w:rPr>
          <w:rFonts w:hAnsi="宋体" w:cs="宋体"/>
          <w:color w:val="auto"/>
          <w:highlight w:val="none"/>
        </w:rPr>
      </w:pPr>
      <w:r>
        <w:rPr>
          <w:rFonts w:hint="eastAsia" w:hAnsi="宋体" w:cs="宋体"/>
          <w:color w:val="auto"/>
          <w:highlight w:val="none"/>
        </w:rPr>
        <w:t>投标人必须保证所提供的产品具有独立的知识产权，保证采购单位在使用投标方所提供的产品时不受任何专利或版权等方面的侵权困扰，如出现类似纠纷，投标人应对由此产生的后果负全部责任，并赔偿甲方由此而造成的全部损失。</w:t>
      </w:r>
    </w:p>
    <w:p w14:paraId="12CB40C8">
      <w:pPr>
        <w:spacing w:line="360" w:lineRule="auto"/>
        <w:ind w:firstLine="424" w:firstLineChars="200"/>
        <w:rPr>
          <w:rFonts w:hAnsi="宋体" w:cs="宋体"/>
          <w:color w:val="auto"/>
          <w:highlight w:val="none"/>
        </w:rPr>
      </w:pPr>
      <w:r>
        <w:rPr>
          <w:rFonts w:hint="eastAsia" w:hAnsi="宋体" w:cs="宋体"/>
          <w:color w:val="auto"/>
          <w:highlight w:val="none"/>
        </w:rPr>
        <w:t>4、一般性技术及服务标准</w:t>
      </w:r>
    </w:p>
    <w:p w14:paraId="1A8102FD">
      <w:pPr>
        <w:spacing w:line="360" w:lineRule="auto"/>
        <w:ind w:firstLine="424" w:firstLineChars="200"/>
        <w:rPr>
          <w:rFonts w:hAnsi="宋体" w:cs="宋体"/>
          <w:color w:val="auto"/>
          <w:highlight w:val="none"/>
        </w:rPr>
      </w:pPr>
      <w:r>
        <w:rPr>
          <w:rFonts w:hint="eastAsia" w:hAnsi="宋体" w:cs="宋体"/>
          <w:color w:val="auto"/>
          <w:highlight w:val="none"/>
        </w:rPr>
        <w:t>4.1投标人在技术和商务上的任何偏离都要在偏离表中列出，没有在表中列出的项目都被视为投标人承诺满足招标文件的要求，供应商的报价若被接受必须按此规定签约并履约。</w:t>
      </w:r>
    </w:p>
    <w:p w14:paraId="625C5E94">
      <w:pPr>
        <w:spacing w:line="360" w:lineRule="auto"/>
        <w:ind w:firstLine="424" w:firstLineChars="200"/>
        <w:rPr>
          <w:rFonts w:hAnsi="宋体" w:cs="宋体"/>
          <w:color w:val="auto"/>
          <w:highlight w:val="none"/>
        </w:rPr>
      </w:pPr>
      <w:r>
        <w:rPr>
          <w:rFonts w:hint="eastAsia" w:hAnsi="宋体" w:cs="宋体"/>
          <w:color w:val="auto"/>
          <w:highlight w:val="none"/>
        </w:rPr>
        <w:t>4.2本招标货物在配置要求中所列明的部件、附件、组件、消耗品等若无特殊说明应为该投标货物品牌配套原装正品。</w:t>
      </w:r>
    </w:p>
    <w:p w14:paraId="0CA5363A">
      <w:pPr>
        <w:spacing w:line="360" w:lineRule="auto"/>
        <w:ind w:firstLine="424" w:firstLineChars="200"/>
        <w:rPr>
          <w:rFonts w:hAnsi="宋体" w:cs="宋体"/>
          <w:color w:val="auto"/>
          <w:highlight w:val="none"/>
        </w:rPr>
      </w:pPr>
      <w:r>
        <w:rPr>
          <w:rFonts w:hint="eastAsia" w:hAnsi="宋体" w:cs="宋体"/>
          <w:color w:val="auto"/>
          <w:highlight w:val="none"/>
        </w:rPr>
        <w:t>4.3上述技术规格及要求中所发生的一切费用均包含在报价价格中。</w:t>
      </w:r>
    </w:p>
    <w:p w14:paraId="391DF61C">
      <w:pPr>
        <w:snapToGrid w:val="0"/>
        <w:spacing w:line="360" w:lineRule="auto"/>
        <w:rPr>
          <w:rFonts w:hAnsi="宋体" w:cs="宋体"/>
          <w:b/>
          <w:bCs/>
          <w:color w:val="auto"/>
          <w:highlight w:val="none"/>
        </w:rPr>
      </w:pPr>
      <w:r>
        <w:rPr>
          <w:rFonts w:hint="eastAsia" w:hAnsi="宋体" w:cs="宋体"/>
          <w:b/>
          <w:bCs/>
          <w:color w:val="auto"/>
          <w:highlight w:val="none"/>
        </w:rPr>
        <w:t>五、验收方式</w:t>
      </w:r>
    </w:p>
    <w:p w14:paraId="4D775C00">
      <w:pPr>
        <w:spacing w:line="360" w:lineRule="auto"/>
        <w:ind w:firstLine="424" w:firstLineChars="200"/>
        <w:rPr>
          <w:rFonts w:hAnsi="宋体" w:cs="宋体"/>
          <w:color w:val="auto"/>
          <w:highlight w:val="none"/>
        </w:rPr>
      </w:pPr>
      <w:r>
        <w:rPr>
          <w:rFonts w:hint="eastAsia" w:hAnsi="宋体" w:cs="宋体"/>
          <w:color w:val="auto"/>
          <w:highlight w:val="none"/>
        </w:rPr>
        <w:t>1、货物到达现场后，中标人应在使用单位人员在场情况下当面开箱，共同清点、检查外观，作出开箱记录，双方签字确认。</w:t>
      </w:r>
    </w:p>
    <w:p w14:paraId="77113EF1">
      <w:pPr>
        <w:spacing w:line="360" w:lineRule="auto"/>
        <w:ind w:firstLine="424" w:firstLineChars="200"/>
        <w:rPr>
          <w:rFonts w:hAnsi="宋体" w:cs="宋体"/>
          <w:color w:val="auto"/>
          <w:highlight w:val="none"/>
        </w:rPr>
      </w:pPr>
      <w:r>
        <w:rPr>
          <w:rFonts w:hint="eastAsia" w:hAnsi="宋体" w:cs="宋体"/>
          <w:color w:val="auto"/>
          <w:highlight w:val="none"/>
        </w:rPr>
        <w:t>2、中标人应保证货物到达采购人所在地完好无损，如有缺漏、损坏，由供应商负责调换、补齐或赔偿。</w:t>
      </w:r>
    </w:p>
    <w:p w14:paraId="6BA8A6AC">
      <w:pPr>
        <w:spacing w:line="360" w:lineRule="auto"/>
        <w:ind w:firstLine="424" w:firstLineChars="200"/>
        <w:rPr>
          <w:rFonts w:hAnsi="宋体" w:cs="宋体"/>
          <w:color w:val="auto"/>
          <w:highlight w:val="none"/>
        </w:rPr>
      </w:pPr>
      <w:r>
        <w:rPr>
          <w:rFonts w:hint="eastAsia" w:hAnsi="宋体" w:cs="宋体"/>
          <w:color w:val="auto"/>
          <w:highlight w:val="none"/>
        </w:rPr>
        <w:t>3、中标人应提供完备的技术资料、装箱单和合格证等，并派遣专业技术人员进行现场安装调试。验收合格条件如下：</w:t>
      </w:r>
    </w:p>
    <w:p w14:paraId="400F0FE4">
      <w:pPr>
        <w:spacing w:line="360" w:lineRule="auto"/>
        <w:ind w:firstLine="424" w:firstLineChars="200"/>
        <w:rPr>
          <w:rFonts w:hAnsi="宋体" w:cs="宋体"/>
          <w:color w:val="auto"/>
          <w:highlight w:val="none"/>
        </w:rPr>
      </w:pPr>
      <w:r>
        <w:rPr>
          <w:rFonts w:hint="eastAsia" w:hAnsi="宋体" w:cs="宋体"/>
          <w:color w:val="auto"/>
          <w:highlight w:val="none"/>
        </w:rPr>
        <w:t>3.1设备技术参数与采购合同一致，性能指标达到规定的标准。</w:t>
      </w:r>
    </w:p>
    <w:p w14:paraId="1CE17DF7">
      <w:pPr>
        <w:spacing w:line="360" w:lineRule="auto"/>
        <w:ind w:firstLine="424" w:firstLineChars="200"/>
        <w:rPr>
          <w:rFonts w:hAnsi="宋体" w:cs="宋体"/>
          <w:color w:val="auto"/>
          <w:highlight w:val="none"/>
        </w:rPr>
      </w:pPr>
      <w:r>
        <w:rPr>
          <w:rFonts w:hint="eastAsia" w:hAnsi="宋体" w:cs="宋体"/>
          <w:color w:val="auto"/>
          <w:highlight w:val="none"/>
        </w:rPr>
        <w:t>3.2货物技术资料、装箱单、合格证等资料齐全。</w:t>
      </w:r>
    </w:p>
    <w:p w14:paraId="11AA21EF">
      <w:pPr>
        <w:spacing w:line="360" w:lineRule="auto"/>
        <w:ind w:firstLine="424" w:firstLineChars="200"/>
        <w:rPr>
          <w:rFonts w:hAnsi="宋体" w:cs="宋体"/>
          <w:color w:val="auto"/>
          <w:highlight w:val="none"/>
        </w:rPr>
      </w:pPr>
      <w:r>
        <w:rPr>
          <w:rFonts w:hint="eastAsia" w:hAnsi="宋体" w:cs="宋体"/>
          <w:color w:val="auto"/>
          <w:highlight w:val="none"/>
        </w:rPr>
        <w:t>3.3在系统试运行期间所出现的问题得到解决，并运行正常。</w:t>
      </w:r>
    </w:p>
    <w:p w14:paraId="46E47FF3">
      <w:pPr>
        <w:spacing w:line="360" w:lineRule="auto"/>
        <w:ind w:firstLine="424" w:firstLineChars="200"/>
        <w:rPr>
          <w:rFonts w:hAnsi="宋体" w:cs="宋体"/>
          <w:color w:val="auto"/>
          <w:highlight w:val="none"/>
        </w:rPr>
      </w:pPr>
      <w:r>
        <w:rPr>
          <w:rFonts w:hint="eastAsia" w:hAnsi="宋体" w:cs="宋体"/>
          <w:color w:val="auto"/>
          <w:highlight w:val="none"/>
        </w:rPr>
        <w:t>3.4在规定时间内交货和验收，并经采购人确认。</w:t>
      </w:r>
    </w:p>
    <w:p w14:paraId="470D7AF9">
      <w:pPr>
        <w:spacing w:line="360" w:lineRule="auto"/>
        <w:ind w:firstLine="424" w:firstLineChars="200"/>
        <w:rPr>
          <w:rFonts w:hAnsi="宋体" w:cs="宋体"/>
          <w:color w:val="auto"/>
          <w:highlight w:val="none"/>
        </w:rPr>
      </w:pPr>
      <w:r>
        <w:rPr>
          <w:rFonts w:hint="eastAsia" w:hAnsi="宋体" w:cs="宋体"/>
          <w:color w:val="auto"/>
          <w:highlight w:val="none"/>
        </w:rPr>
        <w:t>4、产品在安装调试并试运行符合要求后，才作为最终验收。</w:t>
      </w:r>
    </w:p>
    <w:p w14:paraId="6B33794C">
      <w:pPr>
        <w:spacing w:line="360" w:lineRule="auto"/>
        <w:ind w:firstLine="424" w:firstLineChars="200"/>
        <w:rPr>
          <w:rFonts w:hAnsi="宋体" w:cs="宋体"/>
          <w:color w:val="auto"/>
          <w:highlight w:val="none"/>
        </w:rPr>
      </w:pPr>
      <w:r>
        <w:rPr>
          <w:rFonts w:hint="eastAsia" w:hAnsi="宋体" w:cs="宋体"/>
          <w:color w:val="auto"/>
          <w:highlight w:val="none"/>
        </w:rPr>
        <w:t>5、供应商提供的货物未达到招标文件规定要求，且对采购人造成损失的，由供应商承担一切责任，并赔偿所造成的损失。</w:t>
      </w:r>
    </w:p>
    <w:p w14:paraId="30C14675">
      <w:pPr>
        <w:spacing w:line="360" w:lineRule="auto"/>
        <w:ind w:firstLine="424" w:firstLineChars="200"/>
        <w:rPr>
          <w:rFonts w:hAnsi="宋体" w:cs="宋体"/>
          <w:color w:val="auto"/>
          <w:highlight w:val="none"/>
        </w:rPr>
      </w:pPr>
      <w:r>
        <w:rPr>
          <w:rFonts w:hint="eastAsia" w:hAnsi="宋体" w:cs="宋体"/>
          <w:color w:val="auto"/>
          <w:highlight w:val="none"/>
        </w:rPr>
        <w:t>6、大型或者复杂的政府采购项目，采购人应当邀请国家认可的质量检测机构参加验收工作。</w:t>
      </w:r>
    </w:p>
    <w:p w14:paraId="01B8B513">
      <w:pPr>
        <w:spacing w:line="360" w:lineRule="auto"/>
        <w:ind w:firstLine="424" w:firstLineChars="200"/>
        <w:rPr>
          <w:rFonts w:hAnsi="宋体" w:cs="宋体"/>
          <w:color w:val="auto"/>
          <w:highlight w:val="none"/>
        </w:rPr>
      </w:pPr>
      <w:r>
        <w:rPr>
          <w:rFonts w:hint="eastAsia" w:hAnsi="宋体" w:cs="宋体"/>
          <w:color w:val="auto"/>
          <w:highlight w:val="none"/>
        </w:rPr>
        <w:t>7、采购人需要制造商对中标人交付的产品（包括质量、技术参数等）进行确认的，制造商应予以配合，并出具书面意见。</w:t>
      </w:r>
    </w:p>
    <w:p w14:paraId="260740B8">
      <w:pPr>
        <w:spacing w:line="360" w:lineRule="auto"/>
        <w:ind w:firstLine="424" w:firstLineChars="200"/>
        <w:rPr>
          <w:rFonts w:hAnsi="宋体" w:cs="宋体"/>
          <w:color w:val="auto"/>
          <w:highlight w:val="none"/>
        </w:rPr>
      </w:pPr>
      <w:r>
        <w:rPr>
          <w:rFonts w:hint="eastAsia" w:hAnsi="宋体" w:cs="宋体"/>
          <w:color w:val="auto"/>
          <w:highlight w:val="none"/>
        </w:rPr>
        <w:t>8、产品包装材料归采购人所有。</w:t>
      </w:r>
    </w:p>
    <w:p w14:paraId="7F4A89C4">
      <w:pPr>
        <w:snapToGrid w:val="0"/>
        <w:spacing w:line="360" w:lineRule="auto"/>
        <w:rPr>
          <w:rFonts w:hAnsi="宋体" w:cs="宋体"/>
          <w:b/>
          <w:bCs/>
          <w:color w:val="auto"/>
          <w:highlight w:val="none"/>
        </w:rPr>
      </w:pPr>
      <w:r>
        <w:rPr>
          <w:rFonts w:hint="eastAsia" w:hAnsi="宋体" w:cs="宋体"/>
          <w:b/>
          <w:bCs/>
          <w:color w:val="auto"/>
          <w:highlight w:val="none"/>
        </w:rPr>
        <w:t>六、产品质量保证期</w:t>
      </w:r>
    </w:p>
    <w:p w14:paraId="69941A83">
      <w:pPr>
        <w:spacing w:line="360" w:lineRule="auto"/>
        <w:ind w:firstLine="424" w:firstLineChars="200"/>
        <w:rPr>
          <w:rFonts w:hAnsi="宋体" w:cs="宋体"/>
          <w:color w:val="auto"/>
          <w:highlight w:val="none"/>
        </w:rPr>
      </w:pPr>
      <w:r>
        <w:rPr>
          <w:rFonts w:hint="eastAsia" w:hAnsi="宋体" w:cs="宋体"/>
          <w:color w:val="auto"/>
          <w:highlight w:val="none"/>
        </w:rPr>
        <w:t>1、投标产品质量保证期三年。</w:t>
      </w:r>
    </w:p>
    <w:p w14:paraId="71CA0C99">
      <w:pPr>
        <w:spacing w:line="360" w:lineRule="auto"/>
        <w:ind w:firstLine="424" w:firstLineChars="200"/>
        <w:rPr>
          <w:rFonts w:hAnsi="宋体" w:cs="宋体"/>
          <w:color w:val="auto"/>
          <w:highlight w:val="none"/>
        </w:rPr>
      </w:pPr>
      <w:r>
        <w:rPr>
          <w:rFonts w:hint="eastAsia" w:hAnsi="宋体" w:cs="宋体"/>
          <w:color w:val="auto"/>
          <w:highlight w:val="none"/>
        </w:rPr>
        <w:t>2、投标产品属于国家规定“三包”范围的，其产品质量保证期不得低于“三包”规定。</w:t>
      </w:r>
    </w:p>
    <w:p w14:paraId="6F5230D5">
      <w:pPr>
        <w:spacing w:line="360" w:lineRule="auto"/>
        <w:ind w:firstLine="424" w:firstLineChars="200"/>
        <w:rPr>
          <w:rFonts w:hAnsi="宋体" w:cs="宋体"/>
          <w:color w:val="auto"/>
          <w:highlight w:val="none"/>
        </w:rPr>
      </w:pPr>
      <w:r>
        <w:rPr>
          <w:rFonts w:hint="eastAsia" w:hAnsi="宋体" w:cs="宋体"/>
          <w:color w:val="auto"/>
          <w:highlight w:val="none"/>
        </w:rPr>
        <w:t>3、投标人的质量保证期承诺优于国家“三包”规定的，按投标人实际承诺执行。</w:t>
      </w:r>
    </w:p>
    <w:p w14:paraId="3F2840E8">
      <w:pPr>
        <w:spacing w:line="360" w:lineRule="auto"/>
        <w:ind w:firstLine="424" w:firstLineChars="200"/>
        <w:rPr>
          <w:rFonts w:hAnsi="宋体" w:cs="宋体"/>
          <w:color w:val="auto"/>
          <w:highlight w:val="none"/>
        </w:rPr>
      </w:pPr>
      <w:r>
        <w:rPr>
          <w:rFonts w:hint="eastAsia" w:hAnsi="宋体" w:cs="宋体"/>
          <w:color w:val="auto"/>
          <w:highlight w:val="none"/>
        </w:rPr>
        <w:t>4、投标产品由制造商（指产品生产制造商，或其负责销售、售后服务机构，以下同）负责标准售后服务的，应当在投标文件中予以明确说明，并附制造商售后服务承诺。</w:t>
      </w:r>
    </w:p>
    <w:p w14:paraId="064EE2EB">
      <w:pPr>
        <w:snapToGrid w:val="0"/>
        <w:spacing w:line="360" w:lineRule="auto"/>
        <w:rPr>
          <w:rFonts w:hAnsi="宋体" w:cs="宋体"/>
          <w:b/>
          <w:bCs/>
          <w:color w:val="auto"/>
          <w:highlight w:val="none"/>
        </w:rPr>
      </w:pPr>
      <w:r>
        <w:rPr>
          <w:rFonts w:hint="eastAsia" w:hAnsi="宋体" w:cs="宋体"/>
          <w:b/>
          <w:bCs/>
          <w:color w:val="auto"/>
          <w:highlight w:val="none"/>
        </w:rPr>
        <w:t>七、合同履约期限</w:t>
      </w:r>
    </w:p>
    <w:p w14:paraId="1B6414A9">
      <w:pPr>
        <w:snapToGrid w:val="0"/>
        <w:spacing w:line="360" w:lineRule="auto"/>
        <w:ind w:firstLine="424" w:firstLineChars="200"/>
        <w:rPr>
          <w:rFonts w:hAnsi="宋体" w:cs="宋体" w:eastAsiaTheme="minorEastAsia"/>
          <w:b/>
          <w:bCs/>
          <w:color w:val="auto"/>
          <w:highlight w:val="none"/>
        </w:rPr>
      </w:pPr>
      <w:r>
        <w:rPr>
          <w:rFonts w:hint="eastAsia" w:asciiTheme="minorEastAsia" w:hAnsiTheme="minorEastAsia" w:eastAsiaTheme="minorEastAsia" w:cstheme="minorEastAsia"/>
          <w:color w:val="auto"/>
          <w:highlight w:val="none"/>
        </w:rPr>
        <w:t>自采购合同签订后60日（日历日）内交货并完成安装调试。</w:t>
      </w:r>
    </w:p>
    <w:p w14:paraId="69794F37">
      <w:pPr>
        <w:snapToGrid w:val="0"/>
        <w:spacing w:line="360" w:lineRule="auto"/>
        <w:rPr>
          <w:rFonts w:hAnsi="宋体" w:cs="宋体"/>
          <w:b/>
          <w:bCs/>
          <w:color w:val="auto"/>
          <w:highlight w:val="none"/>
        </w:rPr>
      </w:pPr>
      <w:r>
        <w:rPr>
          <w:rFonts w:hint="eastAsia" w:hAnsi="宋体" w:cs="宋体"/>
          <w:b/>
          <w:bCs/>
          <w:color w:val="auto"/>
          <w:highlight w:val="none"/>
        </w:rPr>
        <w:t>八、售后服务内容</w:t>
      </w:r>
    </w:p>
    <w:p w14:paraId="6DE0D72E">
      <w:pPr>
        <w:spacing w:line="360" w:lineRule="auto"/>
        <w:ind w:firstLine="424" w:firstLineChars="200"/>
        <w:rPr>
          <w:rFonts w:hAnsi="宋体" w:cs="宋体"/>
          <w:color w:val="auto"/>
          <w:highlight w:val="none"/>
        </w:rPr>
      </w:pPr>
      <w:r>
        <w:rPr>
          <w:rFonts w:hint="eastAsia" w:hAnsi="宋体" w:cs="宋体"/>
          <w:color w:val="auto"/>
          <w:highlight w:val="none"/>
        </w:rPr>
        <w:t>1、投标人和制造商在质量保证期内应当为采购人提供以下技术支持和服务：</w:t>
      </w:r>
    </w:p>
    <w:p w14:paraId="65ABF69F">
      <w:pPr>
        <w:spacing w:line="360" w:lineRule="auto"/>
        <w:ind w:firstLine="424" w:firstLineChars="200"/>
        <w:rPr>
          <w:rFonts w:hAnsi="宋体" w:cs="宋体"/>
          <w:color w:val="auto"/>
          <w:highlight w:val="none"/>
        </w:rPr>
      </w:pPr>
      <w:r>
        <w:rPr>
          <w:rFonts w:hint="eastAsia" w:hAnsi="宋体" w:cs="宋体"/>
          <w:color w:val="auto"/>
          <w:highlight w:val="none"/>
        </w:rPr>
        <w:t>1.1电话咨询</w:t>
      </w:r>
    </w:p>
    <w:p w14:paraId="112115CB">
      <w:pPr>
        <w:spacing w:line="360" w:lineRule="auto"/>
        <w:ind w:firstLine="424" w:firstLineChars="200"/>
        <w:rPr>
          <w:rFonts w:hAnsi="宋体" w:cs="宋体"/>
          <w:color w:val="auto"/>
          <w:highlight w:val="none"/>
        </w:rPr>
      </w:pPr>
      <w:r>
        <w:rPr>
          <w:rFonts w:hint="eastAsia" w:hAnsi="宋体" w:cs="宋体"/>
          <w:color w:val="auto"/>
          <w:highlight w:val="none"/>
        </w:rPr>
        <w:t>中标人和制造商应当为采购人提供技术援助电话，解答采购人在使用中遇到的问题，及时为采购人提出解决问题的建议。</w:t>
      </w:r>
    </w:p>
    <w:p w14:paraId="3D4DD308">
      <w:pPr>
        <w:spacing w:line="360" w:lineRule="auto"/>
        <w:ind w:firstLine="424" w:firstLineChars="200"/>
        <w:rPr>
          <w:rFonts w:hAnsi="宋体" w:cs="宋体"/>
          <w:color w:val="auto"/>
          <w:highlight w:val="none"/>
        </w:rPr>
      </w:pPr>
      <w:r>
        <w:rPr>
          <w:rFonts w:hint="eastAsia" w:hAnsi="宋体" w:cs="宋体"/>
          <w:color w:val="auto"/>
          <w:highlight w:val="none"/>
        </w:rPr>
        <w:t>1.2现场响应</w:t>
      </w:r>
    </w:p>
    <w:p w14:paraId="6DA59BEA">
      <w:pPr>
        <w:spacing w:line="360" w:lineRule="auto"/>
        <w:ind w:firstLine="424" w:firstLineChars="200"/>
        <w:rPr>
          <w:rFonts w:hAnsi="宋体" w:cs="宋体"/>
          <w:color w:val="auto"/>
          <w:highlight w:val="none"/>
        </w:rPr>
      </w:pPr>
      <w:r>
        <w:rPr>
          <w:rFonts w:hint="eastAsia" w:hAnsi="宋体" w:cs="宋体"/>
          <w:color w:val="auto"/>
          <w:highlight w:val="none"/>
        </w:rPr>
        <w:t>采购人遇到使用及技术问题，电话咨询不能解决的，中标人和制造商应在24小时内到达现场进行处理，确保产品正常工作。</w:t>
      </w:r>
    </w:p>
    <w:p w14:paraId="055B6130">
      <w:pPr>
        <w:spacing w:line="360" w:lineRule="auto"/>
        <w:ind w:firstLine="424" w:firstLineChars="200"/>
        <w:rPr>
          <w:rFonts w:hAnsi="宋体" w:cs="宋体"/>
          <w:color w:val="auto"/>
          <w:highlight w:val="none"/>
        </w:rPr>
      </w:pPr>
      <w:r>
        <w:rPr>
          <w:rFonts w:hint="eastAsia" w:hAnsi="宋体" w:cs="宋体"/>
          <w:color w:val="auto"/>
          <w:highlight w:val="none"/>
        </w:rPr>
        <w:t>1.3技术升级</w:t>
      </w:r>
    </w:p>
    <w:p w14:paraId="1DAC279C">
      <w:pPr>
        <w:spacing w:line="360" w:lineRule="auto"/>
        <w:ind w:firstLine="424" w:firstLineChars="200"/>
        <w:rPr>
          <w:rFonts w:hAnsi="宋体" w:cs="宋体"/>
          <w:color w:val="auto"/>
          <w:highlight w:val="none"/>
        </w:rPr>
      </w:pPr>
      <w:r>
        <w:rPr>
          <w:rFonts w:hint="eastAsia" w:hAnsi="宋体" w:cs="宋体"/>
          <w:color w:val="auto"/>
          <w:highlight w:val="none"/>
        </w:rPr>
        <w:t>在质保期内，如果中标人和制造商的产品技术升级，供应商应及时通知采购人，如采购人有相应要求，中标人和制造商应对采购人购买的产品进行升级服务。</w:t>
      </w:r>
    </w:p>
    <w:p w14:paraId="707855D9">
      <w:pPr>
        <w:spacing w:line="360" w:lineRule="auto"/>
        <w:ind w:firstLine="424" w:firstLineChars="200"/>
        <w:rPr>
          <w:rFonts w:hAnsi="宋体" w:cs="宋体"/>
          <w:color w:val="auto"/>
          <w:highlight w:val="none"/>
        </w:rPr>
      </w:pPr>
      <w:r>
        <w:rPr>
          <w:rFonts w:hint="eastAsia" w:hAnsi="宋体" w:cs="宋体"/>
          <w:color w:val="auto"/>
          <w:highlight w:val="none"/>
        </w:rPr>
        <w:t>2、质保期外服务要求</w:t>
      </w:r>
    </w:p>
    <w:p w14:paraId="53825F4A">
      <w:pPr>
        <w:spacing w:line="360" w:lineRule="auto"/>
        <w:ind w:firstLine="424" w:firstLineChars="200"/>
        <w:rPr>
          <w:rFonts w:hAnsi="宋体" w:cs="宋体"/>
          <w:color w:val="auto"/>
          <w:highlight w:val="none"/>
        </w:rPr>
      </w:pPr>
      <w:r>
        <w:rPr>
          <w:rFonts w:hint="eastAsia" w:hAnsi="宋体" w:cs="宋体"/>
          <w:color w:val="auto"/>
          <w:highlight w:val="none"/>
        </w:rPr>
        <w:t>2.1质量保证期过后，供应商和制造商应同样提供免费电话咨询服务，并应承诺提供产品上门维护服务。</w:t>
      </w:r>
    </w:p>
    <w:p w14:paraId="4B8E84A8">
      <w:pPr>
        <w:spacing w:line="360" w:lineRule="auto"/>
        <w:ind w:firstLine="424" w:firstLineChars="200"/>
        <w:rPr>
          <w:rFonts w:hAnsi="宋体" w:cs="宋体"/>
          <w:color w:val="auto"/>
          <w:highlight w:val="none"/>
        </w:rPr>
      </w:pPr>
      <w:r>
        <w:rPr>
          <w:rFonts w:hint="eastAsia" w:hAnsi="宋体" w:cs="宋体"/>
          <w:color w:val="auto"/>
          <w:highlight w:val="none"/>
        </w:rPr>
        <w:t>2.2质量保证期过后，采购人需要继续由原供应商和制造商提供售后服务的，该供应商和制造商应以优惠价格提供售后服务。</w:t>
      </w:r>
    </w:p>
    <w:p w14:paraId="3583F4A7">
      <w:pPr>
        <w:spacing w:line="360" w:lineRule="auto"/>
        <w:ind w:firstLine="424" w:firstLineChars="200"/>
        <w:rPr>
          <w:rFonts w:hAnsi="宋体" w:cs="宋体"/>
          <w:color w:val="auto"/>
          <w:highlight w:val="none"/>
        </w:rPr>
      </w:pPr>
      <w:r>
        <w:rPr>
          <w:rFonts w:hint="eastAsia" w:hAnsi="宋体" w:cs="宋体"/>
          <w:color w:val="auto"/>
          <w:highlight w:val="none"/>
        </w:rPr>
        <w:t>3、备品备件及易损件</w:t>
      </w:r>
    </w:p>
    <w:p w14:paraId="224D796B">
      <w:pPr>
        <w:spacing w:line="360" w:lineRule="auto"/>
        <w:ind w:firstLine="424" w:firstLineChars="200"/>
        <w:rPr>
          <w:rFonts w:hAnsi="宋体" w:cs="宋体"/>
          <w:color w:val="auto"/>
          <w:highlight w:val="none"/>
        </w:rPr>
      </w:pPr>
      <w:r>
        <w:rPr>
          <w:rFonts w:hint="eastAsia" w:hAnsi="宋体" w:cs="宋体"/>
          <w:color w:val="auto"/>
          <w:highlight w:val="none"/>
        </w:rPr>
        <w:t>中标人和制造商售后服务中，维修使用的备品备件及易损件应为原厂配件，未经采购人同意不得使用非原厂配件，常用的、容易损坏的备品备件及易损件的价格清单须在投标文件中列出。</w:t>
      </w:r>
    </w:p>
    <w:p w14:paraId="1137D40B">
      <w:pPr>
        <w:snapToGrid w:val="0"/>
        <w:spacing w:line="360" w:lineRule="auto"/>
        <w:rPr>
          <w:rFonts w:hAnsi="宋体" w:cs="宋体"/>
          <w:b/>
          <w:bCs/>
          <w:color w:val="auto"/>
          <w:highlight w:val="none"/>
        </w:rPr>
      </w:pPr>
      <w:r>
        <w:rPr>
          <w:rFonts w:hint="eastAsia" w:hAnsi="宋体" w:cs="宋体"/>
          <w:b/>
          <w:bCs/>
          <w:color w:val="auto"/>
          <w:highlight w:val="none"/>
        </w:rPr>
        <w:t>九、交货地点</w:t>
      </w:r>
    </w:p>
    <w:p w14:paraId="25CE5921">
      <w:pPr>
        <w:spacing w:line="360" w:lineRule="auto"/>
        <w:ind w:firstLine="424" w:firstLineChars="200"/>
        <w:rPr>
          <w:rFonts w:hAnsi="宋体" w:cs="宋体"/>
          <w:color w:val="auto"/>
          <w:highlight w:val="none"/>
        </w:rPr>
      </w:pPr>
      <w:r>
        <w:rPr>
          <w:rFonts w:hint="eastAsia" w:hAnsi="宋体" w:cs="宋体"/>
          <w:color w:val="auto"/>
          <w:highlight w:val="none"/>
        </w:rPr>
        <w:t>中国石油大学（北京）克拉玛依校区</w:t>
      </w:r>
    </w:p>
    <w:p w14:paraId="783E0420">
      <w:pPr>
        <w:snapToGrid w:val="0"/>
        <w:spacing w:line="360" w:lineRule="auto"/>
        <w:rPr>
          <w:rFonts w:hAnsi="宋体" w:cs="宋体"/>
          <w:b/>
          <w:bCs/>
          <w:color w:val="auto"/>
          <w:highlight w:val="none"/>
        </w:rPr>
      </w:pPr>
      <w:r>
        <w:rPr>
          <w:rFonts w:hint="eastAsia" w:hAnsi="宋体" w:cs="宋体"/>
          <w:b/>
          <w:bCs/>
          <w:color w:val="auto"/>
          <w:highlight w:val="none"/>
        </w:rPr>
        <w:t>十、付款方式</w:t>
      </w:r>
    </w:p>
    <w:p w14:paraId="7F00EAB2">
      <w:pPr>
        <w:spacing w:line="360" w:lineRule="auto"/>
        <w:ind w:firstLine="424" w:firstLineChars="200"/>
        <w:rPr>
          <w:rFonts w:hint="eastAsia" w:hAnsi="宋体" w:cs="宋体"/>
          <w:color w:val="auto"/>
          <w:highlight w:val="none"/>
        </w:rPr>
      </w:pPr>
      <w:r>
        <w:rPr>
          <w:rFonts w:hint="eastAsia" w:hAnsi="宋体" w:cs="宋体"/>
          <w:color w:val="auto"/>
          <w:highlight w:val="none"/>
        </w:rPr>
        <w:t>1、合同签订后，采购人向中标人支付合同总价50%的预付款；</w:t>
      </w:r>
    </w:p>
    <w:p w14:paraId="5BB0E533">
      <w:pPr>
        <w:spacing w:line="360" w:lineRule="auto"/>
        <w:ind w:firstLine="424" w:firstLineChars="200"/>
        <w:rPr>
          <w:rFonts w:hint="eastAsia" w:hAnsi="宋体" w:cs="宋体"/>
          <w:color w:val="auto"/>
          <w:highlight w:val="none"/>
        </w:rPr>
      </w:pPr>
      <w:r>
        <w:rPr>
          <w:rFonts w:hint="eastAsia" w:hAnsi="宋体" w:cs="宋体"/>
          <w:color w:val="auto"/>
          <w:highlight w:val="none"/>
        </w:rPr>
        <w:t>2、中标人按采购合同交货，完成安装调试，经验收合格后，采购人向中标人支付合同总价50%的货款；</w:t>
      </w:r>
    </w:p>
    <w:p w14:paraId="51FDE997">
      <w:pPr>
        <w:spacing w:line="360" w:lineRule="auto"/>
        <w:ind w:firstLine="424" w:firstLineChars="200"/>
        <w:rPr>
          <w:rFonts w:hint="eastAsia" w:hAnsi="宋体" w:cs="宋体"/>
          <w:color w:val="auto"/>
          <w:highlight w:val="none"/>
        </w:rPr>
      </w:pPr>
      <w:r>
        <w:rPr>
          <w:rFonts w:hint="eastAsia" w:hAnsi="宋体" w:cs="宋体"/>
          <w:color w:val="auto"/>
          <w:highlight w:val="none"/>
        </w:rPr>
        <w:t>3、中标人提交采购合同、发票等材料，向采购人申请付款；</w:t>
      </w:r>
    </w:p>
    <w:p w14:paraId="75C2F813">
      <w:pPr>
        <w:spacing w:line="360" w:lineRule="auto"/>
        <w:ind w:firstLine="424" w:firstLineChars="200"/>
        <w:rPr>
          <w:rFonts w:hAnsi="宋体" w:cs="宋体"/>
          <w:color w:val="auto"/>
          <w:highlight w:val="none"/>
        </w:rPr>
      </w:pPr>
      <w:r>
        <w:rPr>
          <w:rFonts w:hint="eastAsia" w:hAnsi="宋体" w:cs="宋体"/>
          <w:color w:val="auto"/>
          <w:highlight w:val="none"/>
        </w:rPr>
        <w:t>4、采购人对中标人提交的付款资料审核通过后，以转账方式向中标人付款。</w:t>
      </w:r>
    </w:p>
    <w:p w14:paraId="13A8AA33">
      <w:pPr>
        <w:snapToGrid w:val="0"/>
        <w:spacing w:line="360" w:lineRule="auto"/>
        <w:rPr>
          <w:rFonts w:hAnsi="宋体" w:cs="宋体"/>
          <w:b/>
          <w:bCs/>
          <w:color w:val="auto"/>
          <w:highlight w:val="none"/>
        </w:rPr>
      </w:pPr>
      <w:r>
        <w:rPr>
          <w:rFonts w:hint="eastAsia" w:hAnsi="宋体" w:cs="宋体"/>
          <w:b/>
          <w:bCs/>
          <w:color w:val="auto"/>
          <w:highlight w:val="none"/>
        </w:rPr>
        <w:t>十一、培训</w:t>
      </w:r>
    </w:p>
    <w:p w14:paraId="4896295D">
      <w:pPr>
        <w:spacing w:line="360" w:lineRule="auto"/>
        <w:ind w:firstLine="424" w:firstLineChars="200"/>
        <w:rPr>
          <w:rFonts w:hAnsi="宋体" w:cs="宋体"/>
          <w:color w:val="auto"/>
          <w:highlight w:val="none"/>
        </w:rPr>
      </w:pPr>
      <w:r>
        <w:rPr>
          <w:rFonts w:hint="eastAsia" w:hAnsi="宋体" w:cs="宋体"/>
          <w:color w:val="auto"/>
          <w:highlight w:val="none"/>
        </w:rPr>
        <w:t>1、培训内容</w:t>
      </w:r>
    </w:p>
    <w:p w14:paraId="43BDAF86">
      <w:pPr>
        <w:spacing w:line="360" w:lineRule="auto"/>
        <w:ind w:firstLine="424" w:firstLineChars="200"/>
        <w:rPr>
          <w:rFonts w:hAnsi="宋体" w:cs="宋体"/>
          <w:color w:val="auto"/>
          <w:highlight w:val="none"/>
        </w:rPr>
      </w:pPr>
      <w:r>
        <w:rPr>
          <w:rFonts w:hint="eastAsia" w:hAnsi="宋体" w:cs="宋体"/>
          <w:color w:val="auto"/>
          <w:highlight w:val="none"/>
        </w:rPr>
        <w:t>（1）仪器操作培训：涵盖仪器开关机运行、测试参数精准配置、纳米悬浮样品制备与上机、粒度/Zeta电位专属分析方法建立、样品池与光学组件校准更换等全套规范操作；</w:t>
      </w:r>
    </w:p>
    <w:p w14:paraId="5F03803E">
      <w:pPr>
        <w:spacing w:line="360" w:lineRule="auto"/>
        <w:ind w:firstLine="424" w:firstLineChars="200"/>
        <w:rPr>
          <w:rFonts w:hAnsi="宋体" w:cs="宋体"/>
          <w:color w:val="auto"/>
          <w:highlight w:val="none"/>
        </w:rPr>
      </w:pPr>
      <w:r>
        <w:rPr>
          <w:rFonts w:hint="eastAsia" w:hAnsi="宋体" w:cs="宋体"/>
          <w:color w:val="auto"/>
          <w:highlight w:val="none"/>
        </w:rPr>
        <w:t>（2）维护保养培训：仪器整机日常养护、专用耗材定期更换、常见运行故障快速识别与现场简易排查处理要点；</w:t>
      </w:r>
    </w:p>
    <w:p w14:paraId="245BBF30">
      <w:pPr>
        <w:spacing w:line="360" w:lineRule="auto"/>
        <w:ind w:firstLine="424" w:firstLineChars="200"/>
        <w:rPr>
          <w:rFonts w:hAnsi="宋体" w:cs="宋体"/>
          <w:color w:val="auto"/>
          <w:highlight w:val="none"/>
        </w:rPr>
      </w:pPr>
      <w:r>
        <w:rPr>
          <w:rFonts w:hint="eastAsia" w:hAnsi="宋体" w:cs="宋体"/>
          <w:color w:val="auto"/>
          <w:highlight w:val="none"/>
        </w:rPr>
        <w:t>（3）数据处理培训：指导实验原始粒度与电位数据采集、结果深度解析、数据核验拟合、合规报告生成导出，以及配套 LIMS 系统的数据对接传输全流程操作。</w:t>
      </w:r>
    </w:p>
    <w:p w14:paraId="6EC26728">
      <w:pPr>
        <w:spacing w:line="360" w:lineRule="auto"/>
        <w:ind w:firstLine="424" w:firstLineChars="200"/>
        <w:rPr>
          <w:rFonts w:hAnsi="宋体" w:cs="宋体"/>
          <w:color w:val="auto"/>
          <w:highlight w:val="none"/>
        </w:rPr>
      </w:pPr>
      <w:r>
        <w:rPr>
          <w:rFonts w:hint="eastAsia" w:hAnsi="宋体" w:cs="宋体"/>
          <w:color w:val="auto"/>
          <w:highlight w:val="none"/>
        </w:rPr>
        <w:t>2、培训要求</w:t>
      </w:r>
    </w:p>
    <w:p w14:paraId="32FC57C0">
      <w:pPr>
        <w:spacing w:line="360" w:lineRule="auto"/>
        <w:ind w:firstLine="424" w:firstLineChars="200"/>
        <w:rPr>
          <w:rFonts w:hAnsi="宋体" w:cs="宋体"/>
          <w:color w:val="auto"/>
          <w:highlight w:val="none"/>
        </w:rPr>
      </w:pPr>
      <w:r>
        <w:rPr>
          <w:rFonts w:hint="eastAsia" w:hAnsi="宋体" w:cs="宋体"/>
          <w:color w:val="auto"/>
          <w:highlight w:val="none"/>
        </w:rPr>
        <w:t>培训需由原厂持证专业工程师现场开展，确保参训人员可独立完成仪器全流程操作；培训后提供配套学习资料，并终身提供免费技术咨询与补充培训支持。</w:t>
      </w:r>
    </w:p>
    <w:p w14:paraId="15BF4216">
      <w:pPr>
        <w:spacing w:line="360" w:lineRule="auto"/>
        <w:ind w:firstLine="424" w:firstLineChars="200"/>
        <w:rPr>
          <w:rFonts w:hAnsi="宋体" w:cs="宋体"/>
          <w:color w:val="auto"/>
          <w:highlight w:val="none"/>
        </w:rPr>
      </w:pPr>
      <w:r>
        <w:rPr>
          <w:rFonts w:hint="eastAsia" w:hAnsi="宋体" w:cs="宋体"/>
          <w:color w:val="auto"/>
          <w:highlight w:val="none"/>
        </w:rPr>
        <w:t>3、培训方式</w:t>
      </w:r>
    </w:p>
    <w:p w14:paraId="6556F798">
      <w:pPr>
        <w:spacing w:line="360" w:lineRule="auto"/>
        <w:ind w:firstLine="424" w:firstLineChars="200"/>
        <w:rPr>
          <w:rFonts w:hAnsi="宋体" w:cs="宋体"/>
          <w:color w:val="auto"/>
          <w:highlight w:val="none"/>
        </w:rPr>
      </w:pPr>
      <w:r>
        <w:rPr>
          <w:rFonts w:hAnsi="宋体" w:cs="宋体"/>
          <w:color w:val="auto"/>
          <w:highlight w:val="none"/>
        </w:rPr>
        <w:t>现场安装培训</w:t>
      </w:r>
      <w:r>
        <w:rPr>
          <w:rFonts w:hint="eastAsia" w:hAnsi="宋体" w:cs="宋体"/>
          <w:color w:val="auto"/>
          <w:highlight w:val="none"/>
        </w:rPr>
        <w:t>。</w:t>
      </w:r>
    </w:p>
    <w:sectPr>
      <w:headerReference r:id="rId6" w:type="default"/>
      <w:footerReference r:id="rId7" w:type="default"/>
      <w:pgSz w:w="11906" w:h="16838"/>
      <w:pgMar w:top="1440" w:right="1803" w:bottom="1440" w:left="1803" w:header="851" w:footer="992" w:gutter="0"/>
      <w:pgNumType w:fmt="decimal"/>
      <w:cols w:space="0" w:num="1"/>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Corbel">
    <w:panose1 w:val="020B0503020204020204"/>
    <w:charset w:val="00"/>
    <w:family w:val="auto"/>
    <w:pitch w:val="default"/>
    <w:sig w:usb0="A00002EF" w:usb1="4000A44B" w:usb2="00000000" w:usb3="00000000" w:csb0="2000019F" w:csb1="0000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方正小标宋_GBK">
    <w:altName w:val="微软雅黑"/>
    <w:panose1 w:val="03000509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2010601030101010101"/>
    <w:charset w:val="86"/>
    <w:family w:val="auto"/>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6" w:usb3="00000000" w:csb0="0006009F"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7FC4CF2A">
    <w:panose1 w:val="020B0604020202020204"/>
    <w:charset w:val="00"/>
    <w:family w:val="auto"/>
    <w:pitch w:val="default"/>
    <w:sig w:usb0="00000001" w:usb1="00000000" w:usb2="00000000" w:usb3="00000000" w:csb0="0000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ABE72">
    <w:pPr>
      <w:tabs>
        <w:tab w:val="left" w:pos="3305"/>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30688">
    <w:pPr>
      <w:tabs>
        <w:tab w:val="left" w:pos="3305"/>
      </w:tabs>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01F1D">
                          <w:pPr>
                            <w:pStyle w:val="2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B801F1D">
                    <w:pPr>
                      <w:pStyle w:val="2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0B98B">
    <w:pPr>
      <w:ind w:right="36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A68327">
                          <w:pPr>
                            <w:pStyle w:val="26"/>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CA68327">
                    <w:pPr>
                      <w:pStyle w:val="26"/>
                    </w:pPr>
                    <w:r>
                      <w:fldChar w:fldCharType="begin"/>
                    </w:r>
                    <w:r>
                      <w:instrText xml:space="preserve"> PAGE  \* MERGEFORMAT </w:instrText>
                    </w:r>
                    <w:r>
                      <w:fldChar w:fldCharType="separate"/>
                    </w:r>
                    <w:r>
                      <w:t>83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7E96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20A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121"/>
      <w:lvlText w:val="附录%1."/>
      <w:lvlJc w:val="left"/>
      <w:pPr>
        <w:tabs>
          <w:tab w:val="left" w:pos="907"/>
        </w:tabs>
        <w:ind w:left="907" w:hanging="907"/>
      </w:pPr>
      <w:rPr>
        <w:rFonts w:hint="eastAsia"/>
      </w:rPr>
    </w:lvl>
  </w:abstractNum>
  <w:abstractNum w:abstractNumId="1">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3504174E"/>
    <w:multiLevelType w:val="multilevel"/>
    <w:tmpl w:val="3504174E"/>
    <w:lvl w:ilvl="0" w:tentative="0">
      <w:start w:val="1"/>
      <w:numFmt w:val="decimal"/>
      <w:lvlText w:val="%1."/>
      <w:lvlJc w:val="left"/>
      <w:pPr>
        <w:ind w:left="360" w:hanging="36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A15682F"/>
    <w:multiLevelType w:val="singleLevel"/>
    <w:tmpl w:val="3A15682F"/>
    <w:lvl w:ilvl="0" w:tentative="0">
      <w:start w:val="0"/>
      <w:numFmt w:val="none"/>
      <w:lvlText w:val=""/>
      <w:lvlJc w:val="left"/>
      <w:pPr>
        <w:tabs>
          <w:tab w:val="left" w:pos="360"/>
        </w:tabs>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0C153B"/>
    <w:multiLevelType w:val="multilevel"/>
    <w:tmpl w:val="420C153B"/>
    <w:lvl w:ilvl="0" w:tentative="0">
      <w:start w:val="1"/>
      <w:numFmt w:val="decimal"/>
      <w:pStyle w:val="1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9"/>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7">
    <w:nsid w:val="4C0C1BFB"/>
    <w:multiLevelType w:val="singleLevel"/>
    <w:tmpl w:val="4C0C1BFB"/>
    <w:lvl w:ilvl="0" w:tentative="0">
      <w:start w:val="1"/>
      <w:numFmt w:val="decimal"/>
      <w:pStyle w:val="126"/>
      <w:lvlText w:val="（%1）"/>
      <w:lvlJc w:val="left"/>
      <w:pPr>
        <w:tabs>
          <w:tab w:val="left" w:pos="810"/>
        </w:tabs>
        <w:ind w:left="810" w:hanging="810"/>
      </w:pPr>
      <w:rPr>
        <w:rFonts w:hint="eastAsia"/>
      </w:rPr>
    </w:lvl>
  </w:abstractNum>
  <w:abstractNum w:abstractNumId="8">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9">
    <w:nsid w:val="6AA94A46"/>
    <w:multiLevelType w:val="singleLevel"/>
    <w:tmpl w:val="6AA94A46"/>
    <w:lvl w:ilvl="0" w:tentative="0">
      <w:start w:val="1"/>
      <w:numFmt w:val="decimal"/>
      <w:suff w:val="space"/>
      <w:lvlText w:val="%1."/>
      <w:lvlJc w:val="left"/>
    </w:lvl>
  </w:abstractNum>
  <w:num w:numId="1">
    <w:abstractNumId w:val="8"/>
  </w:num>
  <w:num w:numId="2">
    <w:abstractNumId w:val="6"/>
  </w:num>
  <w:num w:numId="3">
    <w:abstractNumId w:val="4"/>
  </w:num>
  <w:num w:numId="4">
    <w:abstractNumId w:val="5"/>
  </w:num>
  <w:num w:numId="5">
    <w:abstractNumId w:val="0"/>
  </w:num>
  <w:num w:numId="6">
    <w:abstractNumId w:val="7"/>
  </w:num>
  <w:num w:numId="7">
    <w:abstractNumId w:val="2"/>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420"/>
  <w:drawingGridHorizontalSpacing w:val="106"/>
  <w:drawingGridVerticalSpacing w:val="159"/>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3NjhlZGQ0MTYyYjVjZGJhOGQxNjVmZGEyNWEwMj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2"/>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1D7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9D9"/>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92D"/>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61A"/>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2698"/>
    <w:rsid w:val="00B042EE"/>
    <w:rsid w:val="00B0452E"/>
    <w:rsid w:val="00B05012"/>
    <w:rsid w:val="00B05BB3"/>
    <w:rsid w:val="00B060E2"/>
    <w:rsid w:val="00B10DDB"/>
    <w:rsid w:val="00B10F04"/>
    <w:rsid w:val="00B1130A"/>
    <w:rsid w:val="00B11DC0"/>
    <w:rsid w:val="00B12AF7"/>
    <w:rsid w:val="00B12BDA"/>
    <w:rsid w:val="00B12F53"/>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6F4"/>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0BA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DE2339"/>
    <w:rsid w:val="01EA6151"/>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E5B2D"/>
    <w:rsid w:val="02A0096B"/>
    <w:rsid w:val="02A90E9A"/>
    <w:rsid w:val="02AE013F"/>
    <w:rsid w:val="02B64DFD"/>
    <w:rsid w:val="02C1579F"/>
    <w:rsid w:val="02C32118"/>
    <w:rsid w:val="02CA6108"/>
    <w:rsid w:val="02D60F91"/>
    <w:rsid w:val="02D76984"/>
    <w:rsid w:val="02E40D97"/>
    <w:rsid w:val="02E85072"/>
    <w:rsid w:val="02F333A9"/>
    <w:rsid w:val="02FB21AB"/>
    <w:rsid w:val="02FC79E3"/>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D72EEA"/>
    <w:rsid w:val="03E80CD8"/>
    <w:rsid w:val="03ED12D9"/>
    <w:rsid w:val="03EE48EF"/>
    <w:rsid w:val="03F11BF1"/>
    <w:rsid w:val="03F24DC9"/>
    <w:rsid w:val="03F34100"/>
    <w:rsid w:val="04161F26"/>
    <w:rsid w:val="04170DF7"/>
    <w:rsid w:val="04320854"/>
    <w:rsid w:val="043D5D21"/>
    <w:rsid w:val="04483D61"/>
    <w:rsid w:val="045020EC"/>
    <w:rsid w:val="046A53CB"/>
    <w:rsid w:val="047821E2"/>
    <w:rsid w:val="04947470"/>
    <w:rsid w:val="04A24CDA"/>
    <w:rsid w:val="04B0388E"/>
    <w:rsid w:val="04C40E62"/>
    <w:rsid w:val="04D66201"/>
    <w:rsid w:val="04DB2929"/>
    <w:rsid w:val="04F84B1F"/>
    <w:rsid w:val="04FC3F5D"/>
    <w:rsid w:val="04FF5314"/>
    <w:rsid w:val="05010644"/>
    <w:rsid w:val="051313AC"/>
    <w:rsid w:val="05144C7F"/>
    <w:rsid w:val="052E4741"/>
    <w:rsid w:val="053013D0"/>
    <w:rsid w:val="05401924"/>
    <w:rsid w:val="0544423B"/>
    <w:rsid w:val="055C5935"/>
    <w:rsid w:val="056612F2"/>
    <w:rsid w:val="057B42FE"/>
    <w:rsid w:val="0594349D"/>
    <w:rsid w:val="05A84AB3"/>
    <w:rsid w:val="05B37535"/>
    <w:rsid w:val="05D93D5D"/>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DB44D3"/>
    <w:rsid w:val="06E82CFE"/>
    <w:rsid w:val="06EB0BBA"/>
    <w:rsid w:val="06F313BF"/>
    <w:rsid w:val="071C0C28"/>
    <w:rsid w:val="072A23D5"/>
    <w:rsid w:val="073B74A1"/>
    <w:rsid w:val="074B379C"/>
    <w:rsid w:val="07561504"/>
    <w:rsid w:val="07565F25"/>
    <w:rsid w:val="075864F0"/>
    <w:rsid w:val="075D356D"/>
    <w:rsid w:val="076C4500"/>
    <w:rsid w:val="07751C03"/>
    <w:rsid w:val="0777098F"/>
    <w:rsid w:val="07841BEF"/>
    <w:rsid w:val="0786398B"/>
    <w:rsid w:val="078932FF"/>
    <w:rsid w:val="07AA0244"/>
    <w:rsid w:val="07AB2628"/>
    <w:rsid w:val="07B224B6"/>
    <w:rsid w:val="07B5030F"/>
    <w:rsid w:val="07B75BB0"/>
    <w:rsid w:val="07BB37F9"/>
    <w:rsid w:val="07BF3D6F"/>
    <w:rsid w:val="07D12B5A"/>
    <w:rsid w:val="07DD5D59"/>
    <w:rsid w:val="07E037EB"/>
    <w:rsid w:val="07E41AFA"/>
    <w:rsid w:val="07E71830"/>
    <w:rsid w:val="07F53F9D"/>
    <w:rsid w:val="07F615C4"/>
    <w:rsid w:val="07FA0547"/>
    <w:rsid w:val="08015D6C"/>
    <w:rsid w:val="08047348"/>
    <w:rsid w:val="080571A2"/>
    <w:rsid w:val="08093596"/>
    <w:rsid w:val="080A2255"/>
    <w:rsid w:val="080D777F"/>
    <w:rsid w:val="0814117C"/>
    <w:rsid w:val="0828314D"/>
    <w:rsid w:val="084E0BD6"/>
    <w:rsid w:val="08503979"/>
    <w:rsid w:val="085A158C"/>
    <w:rsid w:val="085D7497"/>
    <w:rsid w:val="086428B3"/>
    <w:rsid w:val="08656BD0"/>
    <w:rsid w:val="087760D1"/>
    <w:rsid w:val="087B0710"/>
    <w:rsid w:val="08854A3B"/>
    <w:rsid w:val="089D5EE4"/>
    <w:rsid w:val="089D7D7B"/>
    <w:rsid w:val="08B35707"/>
    <w:rsid w:val="08B710B0"/>
    <w:rsid w:val="08DD6B03"/>
    <w:rsid w:val="08E43B0F"/>
    <w:rsid w:val="08FF7DDD"/>
    <w:rsid w:val="090166A2"/>
    <w:rsid w:val="09022534"/>
    <w:rsid w:val="090B5543"/>
    <w:rsid w:val="090D5D07"/>
    <w:rsid w:val="090F1B78"/>
    <w:rsid w:val="0922667C"/>
    <w:rsid w:val="09275236"/>
    <w:rsid w:val="092B119A"/>
    <w:rsid w:val="0940385B"/>
    <w:rsid w:val="0941465B"/>
    <w:rsid w:val="094840A2"/>
    <w:rsid w:val="094F6709"/>
    <w:rsid w:val="0952183D"/>
    <w:rsid w:val="09637930"/>
    <w:rsid w:val="09664528"/>
    <w:rsid w:val="096C5C58"/>
    <w:rsid w:val="096D038B"/>
    <w:rsid w:val="097848B8"/>
    <w:rsid w:val="0983683C"/>
    <w:rsid w:val="09853824"/>
    <w:rsid w:val="09985395"/>
    <w:rsid w:val="099F7FEA"/>
    <w:rsid w:val="09B65D38"/>
    <w:rsid w:val="09C56E7C"/>
    <w:rsid w:val="09CB3C0A"/>
    <w:rsid w:val="09D24C53"/>
    <w:rsid w:val="09D82898"/>
    <w:rsid w:val="09EF672A"/>
    <w:rsid w:val="09FA3203"/>
    <w:rsid w:val="09FF7BFE"/>
    <w:rsid w:val="0A0D7099"/>
    <w:rsid w:val="0A3D1A29"/>
    <w:rsid w:val="0A3F5CD9"/>
    <w:rsid w:val="0A415908"/>
    <w:rsid w:val="0A52244D"/>
    <w:rsid w:val="0A5A637B"/>
    <w:rsid w:val="0A663B0A"/>
    <w:rsid w:val="0A6E4652"/>
    <w:rsid w:val="0A750189"/>
    <w:rsid w:val="0A7532F0"/>
    <w:rsid w:val="0A7C228C"/>
    <w:rsid w:val="0A867835"/>
    <w:rsid w:val="0A8B5A32"/>
    <w:rsid w:val="0AA536BF"/>
    <w:rsid w:val="0AA82F3B"/>
    <w:rsid w:val="0AB75001"/>
    <w:rsid w:val="0ABB3376"/>
    <w:rsid w:val="0ACB0F48"/>
    <w:rsid w:val="0AD332E8"/>
    <w:rsid w:val="0AD754CD"/>
    <w:rsid w:val="0AE83ED5"/>
    <w:rsid w:val="0B043018"/>
    <w:rsid w:val="0B0634FA"/>
    <w:rsid w:val="0B087721"/>
    <w:rsid w:val="0B0B3459"/>
    <w:rsid w:val="0B0C5CC4"/>
    <w:rsid w:val="0B1612A2"/>
    <w:rsid w:val="0B212588"/>
    <w:rsid w:val="0B217B56"/>
    <w:rsid w:val="0B2C6CAB"/>
    <w:rsid w:val="0B3F2C19"/>
    <w:rsid w:val="0B5012DA"/>
    <w:rsid w:val="0B523A95"/>
    <w:rsid w:val="0B681ED1"/>
    <w:rsid w:val="0B6B22C9"/>
    <w:rsid w:val="0B70168E"/>
    <w:rsid w:val="0B72147D"/>
    <w:rsid w:val="0B7725F4"/>
    <w:rsid w:val="0B780B37"/>
    <w:rsid w:val="0B821E6A"/>
    <w:rsid w:val="0B8B2703"/>
    <w:rsid w:val="0B8D3F60"/>
    <w:rsid w:val="0B951D43"/>
    <w:rsid w:val="0B9655C3"/>
    <w:rsid w:val="0B9A1F23"/>
    <w:rsid w:val="0B9B6EF1"/>
    <w:rsid w:val="0B9C1C9D"/>
    <w:rsid w:val="0BA706AC"/>
    <w:rsid w:val="0BB02E2A"/>
    <w:rsid w:val="0BB8526F"/>
    <w:rsid w:val="0BC71C64"/>
    <w:rsid w:val="0BC8644B"/>
    <w:rsid w:val="0BDB78F8"/>
    <w:rsid w:val="0BEA7594"/>
    <w:rsid w:val="0BF72442"/>
    <w:rsid w:val="0BFC49CA"/>
    <w:rsid w:val="0BFF7F8F"/>
    <w:rsid w:val="0C123946"/>
    <w:rsid w:val="0C1A74BA"/>
    <w:rsid w:val="0C1F7F06"/>
    <w:rsid w:val="0C2658DC"/>
    <w:rsid w:val="0C3410D8"/>
    <w:rsid w:val="0C410A25"/>
    <w:rsid w:val="0C477D93"/>
    <w:rsid w:val="0C515ECD"/>
    <w:rsid w:val="0C523489"/>
    <w:rsid w:val="0C55652A"/>
    <w:rsid w:val="0C5D5223"/>
    <w:rsid w:val="0C5E1BFD"/>
    <w:rsid w:val="0C631F97"/>
    <w:rsid w:val="0C7042B9"/>
    <w:rsid w:val="0C7512C7"/>
    <w:rsid w:val="0C777867"/>
    <w:rsid w:val="0C793191"/>
    <w:rsid w:val="0C7B02EA"/>
    <w:rsid w:val="0C937576"/>
    <w:rsid w:val="0C992063"/>
    <w:rsid w:val="0C9F6118"/>
    <w:rsid w:val="0CA14B3C"/>
    <w:rsid w:val="0CBD0903"/>
    <w:rsid w:val="0CBE41F6"/>
    <w:rsid w:val="0CC441C8"/>
    <w:rsid w:val="0CC53C5B"/>
    <w:rsid w:val="0CCD169F"/>
    <w:rsid w:val="0CCD5722"/>
    <w:rsid w:val="0CDC0754"/>
    <w:rsid w:val="0CE831C7"/>
    <w:rsid w:val="0D004C93"/>
    <w:rsid w:val="0D0208D3"/>
    <w:rsid w:val="0D033888"/>
    <w:rsid w:val="0D091841"/>
    <w:rsid w:val="0D1A0B50"/>
    <w:rsid w:val="0D2C070A"/>
    <w:rsid w:val="0D2C767A"/>
    <w:rsid w:val="0D3247FD"/>
    <w:rsid w:val="0D335F49"/>
    <w:rsid w:val="0D4D5C6B"/>
    <w:rsid w:val="0D4F346B"/>
    <w:rsid w:val="0D694F5F"/>
    <w:rsid w:val="0D6A79DB"/>
    <w:rsid w:val="0D8D77E8"/>
    <w:rsid w:val="0D8F21B8"/>
    <w:rsid w:val="0DA6181C"/>
    <w:rsid w:val="0DAE75C1"/>
    <w:rsid w:val="0DAF2A5B"/>
    <w:rsid w:val="0DB00D5C"/>
    <w:rsid w:val="0DB8226D"/>
    <w:rsid w:val="0DB902A0"/>
    <w:rsid w:val="0DC85F26"/>
    <w:rsid w:val="0DD2548D"/>
    <w:rsid w:val="0DDF7BF6"/>
    <w:rsid w:val="0DE133C7"/>
    <w:rsid w:val="0DE657DA"/>
    <w:rsid w:val="0DEE0F90"/>
    <w:rsid w:val="0DF03072"/>
    <w:rsid w:val="0DF575E7"/>
    <w:rsid w:val="0DFD7024"/>
    <w:rsid w:val="0E097122"/>
    <w:rsid w:val="0E0B0E89"/>
    <w:rsid w:val="0E191823"/>
    <w:rsid w:val="0E227B23"/>
    <w:rsid w:val="0E2E708F"/>
    <w:rsid w:val="0E3A292E"/>
    <w:rsid w:val="0E502AAA"/>
    <w:rsid w:val="0E5D364A"/>
    <w:rsid w:val="0E833DCE"/>
    <w:rsid w:val="0E947D89"/>
    <w:rsid w:val="0EA86FBB"/>
    <w:rsid w:val="0EC842D6"/>
    <w:rsid w:val="0ED8416C"/>
    <w:rsid w:val="0EE23A03"/>
    <w:rsid w:val="0EE43BCF"/>
    <w:rsid w:val="0EEA02B1"/>
    <w:rsid w:val="0EED0C82"/>
    <w:rsid w:val="0EF42513"/>
    <w:rsid w:val="0EF94317"/>
    <w:rsid w:val="0EFC6C34"/>
    <w:rsid w:val="0F020558"/>
    <w:rsid w:val="0F052A35"/>
    <w:rsid w:val="0F0A1177"/>
    <w:rsid w:val="0F18383B"/>
    <w:rsid w:val="0F196507"/>
    <w:rsid w:val="0F204B19"/>
    <w:rsid w:val="0F2D739E"/>
    <w:rsid w:val="0F2D7847"/>
    <w:rsid w:val="0F343334"/>
    <w:rsid w:val="0F375AB3"/>
    <w:rsid w:val="0F375BC5"/>
    <w:rsid w:val="0F3B242E"/>
    <w:rsid w:val="0F3B3452"/>
    <w:rsid w:val="0F4E2DD2"/>
    <w:rsid w:val="0F661A9F"/>
    <w:rsid w:val="0F8344AB"/>
    <w:rsid w:val="0F8632D3"/>
    <w:rsid w:val="0F8F1D65"/>
    <w:rsid w:val="0F915FE1"/>
    <w:rsid w:val="0F9C07C7"/>
    <w:rsid w:val="0FD757AD"/>
    <w:rsid w:val="0FD80609"/>
    <w:rsid w:val="0FE07CC3"/>
    <w:rsid w:val="0FF44CA3"/>
    <w:rsid w:val="100173F2"/>
    <w:rsid w:val="1005338D"/>
    <w:rsid w:val="100C4023"/>
    <w:rsid w:val="10120F66"/>
    <w:rsid w:val="10132D37"/>
    <w:rsid w:val="102121B6"/>
    <w:rsid w:val="102E22AB"/>
    <w:rsid w:val="103A2F9B"/>
    <w:rsid w:val="103C085C"/>
    <w:rsid w:val="10532861"/>
    <w:rsid w:val="106D3EDC"/>
    <w:rsid w:val="10817E99"/>
    <w:rsid w:val="1096558C"/>
    <w:rsid w:val="10974FCF"/>
    <w:rsid w:val="109B3F51"/>
    <w:rsid w:val="10AA3894"/>
    <w:rsid w:val="10AC4127"/>
    <w:rsid w:val="10BE21EF"/>
    <w:rsid w:val="10BF05EF"/>
    <w:rsid w:val="10E45CE2"/>
    <w:rsid w:val="10E55BF3"/>
    <w:rsid w:val="110450AE"/>
    <w:rsid w:val="110C7F5E"/>
    <w:rsid w:val="110E5C22"/>
    <w:rsid w:val="111431D1"/>
    <w:rsid w:val="111B308D"/>
    <w:rsid w:val="111E4721"/>
    <w:rsid w:val="112C3B78"/>
    <w:rsid w:val="113E5D8A"/>
    <w:rsid w:val="113F131D"/>
    <w:rsid w:val="11402938"/>
    <w:rsid w:val="11512B20"/>
    <w:rsid w:val="115305C3"/>
    <w:rsid w:val="11563AAD"/>
    <w:rsid w:val="11610A29"/>
    <w:rsid w:val="11671A45"/>
    <w:rsid w:val="11682FBD"/>
    <w:rsid w:val="117046DB"/>
    <w:rsid w:val="1186246D"/>
    <w:rsid w:val="11992D75"/>
    <w:rsid w:val="11A93A6B"/>
    <w:rsid w:val="11A97B89"/>
    <w:rsid w:val="11B54ED8"/>
    <w:rsid w:val="11BD1C00"/>
    <w:rsid w:val="11BF511D"/>
    <w:rsid w:val="11C9491E"/>
    <w:rsid w:val="11CE5425"/>
    <w:rsid w:val="11ED1B8B"/>
    <w:rsid w:val="11F254F3"/>
    <w:rsid w:val="11F40BF5"/>
    <w:rsid w:val="11FA5A8C"/>
    <w:rsid w:val="11FC73C1"/>
    <w:rsid w:val="11FD36C5"/>
    <w:rsid w:val="121B3B70"/>
    <w:rsid w:val="121C4D18"/>
    <w:rsid w:val="122300F0"/>
    <w:rsid w:val="12377FD1"/>
    <w:rsid w:val="12495C37"/>
    <w:rsid w:val="124F3FCF"/>
    <w:rsid w:val="125F3B3E"/>
    <w:rsid w:val="12601EFA"/>
    <w:rsid w:val="126401D3"/>
    <w:rsid w:val="12662A16"/>
    <w:rsid w:val="12734291"/>
    <w:rsid w:val="127614B6"/>
    <w:rsid w:val="127F42ED"/>
    <w:rsid w:val="128C5F73"/>
    <w:rsid w:val="12917963"/>
    <w:rsid w:val="129206AA"/>
    <w:rsid w:val="12932067"/>
    <w:rsid w:val="12970D18"/>
    <w:rsid w:val="12A06B6E"/>
    <w:rsid w:val="12A12A75"/>
    <w:rsid w:val="12A7080A"/>
    <w:rsid w:val="12A70C59"/>
    <w:rsid w:val="12AC32C8"/>
    <w:rsid w:val="12B3472F"/>
    <w:rsid w:val="12CD6741"/>
    <w:rsid w:val="12D13428"/>
    <w:rsid w:val="12D1659E"/>
    <w:rsid w:val="12D270D2"/>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11CA1"/>
    <w:rsid w:val="136649CE"/>
    <w:rsid w:val="137D5290"/>
    <w:rsid w:val="137E5CEB"/>
    <w:rsid w:val="13866697"/>
    <w:rsid w:val="13AA53FC"/>
    <w:rsid w:val="13AE5829"/>
    <w:rsid w:val="13C76879"/>
    <w:rsid w:val="13C90091"/>
    <w:rsid w:val="13D5547A"/>
    <w:rsid w:val="13D562D3"/>
    <w:rsid w:val="13EE3A98"/>
    <w:rsid w:val="13F31769"/>
    <w:rsid w:val="13FF65A9"/>
    <w:rsid w:val="140A39B3"/>
    <w:rsid w:val="1440200A"/>
    <w:rsid w:val="14462972"/>
    <w:rsid w:val="1450411B"/>
    <w:rsid w:val="145C7AB8"/>
    <w:rsid w:val="14751C07"/>
    <w:rsid w:val="147B7D72"/>
    <w:rsid w:val="14A2036B"/>
    <w:rsid w:val="14A5642A"/>
    <w:rsid w:val="14A6471E"/>
    <w:rsid w:val="14A81CBB"/>
    <w:rsid w:val="14AE1156"/>
    <w:rsid w:val="14CA105D"/>
    <w:rsid w:val="14CB13CC"/>
    <w:rsid w:val="14D1667B"/>
    <w:rsid w:val="14DA0880"/>
    <w:rsid w:val="14DC1B42"/>
    <w:rsid w:val="14DD1797"/>
    <w:rsid w:val="14EC1251"/>
    <w:rsid w:val="14EF08C2"/>
    <w:rsid w:val="14F678B5"/>
    <w:rsid w:val="1500607F"/>
    <w:rsid w:val="150263BE"/>
    <w:rsid w:val="15036EB4"/>
    <w:rsid w:val="15094E25"/>
    <w:rsid w:val="153E0A4F"/>
    <w:rsid w:val="15417FCB"/>
    <w:rsid w:val="157F3DAD"/>
    <w:rsid w:val="15810381"/>
    <w:rsid w:val="158F7650"/>
    <w:rsid w:val="15B10B36"/>
    <w:rsid w:val="15C6137F"/>
    <w:rsid w:val="15CF75C2"/>
    <w:rsid w:val="15D3061D"/>
    <w:rsid w:val="15DB4E8B"/>
    <w:rsid w:val="15DB629E"/>
    <w:rsid w:val="15FA1CBA"/>
    <w:rsid w:val="15FA4642"/>
    <w:rsid w:val="16005B4D"/>
    <w:rsid w:val="16023749"/>
    <w:rsid w:val="16117F11"/>
    <w:rsid w:val="16122D70"/>
    <w:rsid w:val="163500E7"/>
    <w:rsid w:val="16390BF0"/>
    <w:rsid w:val="16394F6A"/>
    <w:rsid w:val="163A5649"/>
    <w:rsid w:val="16511CDE"/>
    <w:rsid w:val="165C63EB"/>
    <w:rsid w:val="166169AF"/>
    <w:rsid w:val="16662B1E"/>
    <w:rsid w:val="166C4748"/>
    <w:rsid w:val="166D5CF9"/>
    <w:rsid w:val="1679677C"/>
    <w:rsid w:val="16806F5F"/>
    <w:rsid w:val="16856C77"/>
    <w:rsid w:val="16891110"/>
    <w:rsid w:val="16B200D8"/>
    <w:rsid w:val="16B4157E"/>
    <w:rsid w:val="16B53E81"/>
    <w:rsid w:val="16C80E28"/>
    <w:rsid w:val="16C91A60"/>
    <w:rsid w:val="16D30DE4"/>
    <w:rsid w:val="16D53A3A"/>
    <w:rsid w:val="16E16162"/>
    <w:rsid w:val="16EC69F2"/>
    <w:rsid w:val="16F46BD4"/>
    <w:rsid w:val="16F679BE"/>
    <w:rsid w:val="17011FF5"/>
    <w:rsid w:val="17082077"/>
    <w:rsid w:val="17086A04"/>
    <w:rsid w:val="170C79EF"/>
    <w:rsid w:val="1733704F"/>
    <w:rsid w:val="1739584F"/>
    <w:rsid w:val="175D2140"/>
    <w:rsid w:val="17704AAB"/>
    <w:rsid w:val="17731FA9"/>
    <w:rsid w:val="177B7741"/>
    <w:rsid w:val="1785028E"/>
    <w:rsid w:val="178F1DC2"/>
    <w:rsid w:val="179F445C"/>
    <w:rsid w:val="17A36B40"/>
    <w:rsid w:val="17A377C9"/>
    <w:rsid w:val="17A408D6"/>
    <w:rsid w:val="17A974E2"/>
    <w:rsid w:val="17B920AF"/>
    <w:rsid w:val="17BA6CC5"/>
    <w:rsid w:val="17BC7BFC"/>
    <w:rsid w:val="17BE4DD5"/>
    <w:rsid w:val="17C136A2"/>
    <w:rsid w:val="17D23C27"/>
    <w:rsid w:val="18142066"/>
    <w:rsid w:val="18196BEB"/>
    <w:rsid w:val="182401DB"/>
    <w:rsid w:val="18242F81"/>
    <w:rsid w:val="18464199"/>
    <w:rsid w:val="184B2CE6"/>
    <w:rsid w:val="185524EF"/>
    <w:rsid w:val="185858F1"/>
    <w:rsid w:val="186B4D4A"/>
    <w:rsid w:val="188B6D6F"/>
    <w:rsid w:val="188E5E3A"/>
    <w:rsid w:val="188F5CA0"/>
    <w:rsid w:val="189622E4"/>
    <w:rsid w:val="189F5400"/>
    <w:rsid w:val="18A15213"/>
    <w:rsid w:val="18C33FDF"/>
    <w:rsid w:val="18CD25A4"/>
    <w:rsid w:val="18D3152C"/>
    <w:rsid w:val="18D712D8"/>
    <w:rsid w:val="18D82E24"/>
    <w:rsid w:val="18FE3820"/>
    <w:rsid w:val="19130E36"/>
    <w:rsid w:val="191772D0"/>
    <w:rsid w:val="194B1EC4"/>
    <w:rsid w:val="19550C97"/>
    <w:rsid w:val="19590856"/>
    <w:rsid w:val="1962306A"/>
    <w:rsid w:val="19775154"/>
    <w:rsid w:val="19792055"/>
    <w:rsid w:val="198364F1"/>
    <w:rsid w:val="198A6011"/>
    <w:rsid w:val="198D4077"/>
    <w:rsid w:val="19A36B5B"/>
    <w:rsid w:val="19AB225A"/>
    <w:rsid w:val="19AD7F51"/>
    <w:rsid w:val="19D65577"/>
    <w:rsid w:val="19FB1C97"/>
    <w:rsid w:val="1A0A4ACB"/>
    <w:rsid w:val="1A1846F1"/>
    <w:rsid w:val="1A2062AD"/>
    <w:rsid w:val="1A22506F"/>
    <w:rsid w:val="1A3261AF"/>
    <w:rsid w:val="1A352916"/>
    <w:rsid w:val="1A402C90"/>
    <w:rsid w:val="1A606D71"/>
    <w:rsid w:val="1A8D27AD"/>
    <w:rsid w:val="1A9021AA"/>
    <w:rsid w:val="1A920900"/>
    <w:rsid w:val="1A9349CE"/>
    <w:rsid w:val="1A942CB7"/>
    <w:rsid w:val="1A9E57EB"/>
    <w:rsid w:val="1AA151CF"/>
    <w:rsid w:val="1AA2653D"/>
    <w:rsid w:val="1AA82093"/>
    <w:rsid w:val="1AB8095B"/>
    <w:rsid w:val="1ACD6EFD"/>
    <w:rsid w:val="1AD244DF"/>
    <w:rsid w:val="1AE87493"/>
    <w:rsid w:val="1AF06026"/>
    <w:rsid w:val="1AF54F22"/>
    <w:rsid w:val="1B011B04"/>
    <w:rsid w:val="1B0B7197"/>
    <w:rsid w:val="1B270D19"/>
    <w:rsid w:val="1B312411"/>
    <w:rsid w:val="1B3157F0"/>
    <w:rsid w:val="1B347B21"/>
    <w:rsid w:val="1B35192A"/>
    <w:rsid w:val="1B4120DC"/>
    <w:rsid w:val="1B473D6A"/>
    <w:rsid w:val="1B50316D"/>
    <w:rsid w:val="1B5230EB"/>
    <w:rsid w:val="1B542D7A"/>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1D13BE"/>
    <w:rsid w:val="1C226D51"/>
    <w:rsid w:val="1C2D27CB"/>
    <w:rsid w:val="1C362701"/>
    <w:rsid w:val="1C393D1E"/>
    <w:rsid w:val="1C5300CD"/>
    <w:rsid w:val="1C5314BB"/>
    <w:rsid w:val="1C6A13EC"/>
    <w:rsid w:val="1C784A20"/>
    <w:rsid w:val="1C7D2C17"/>
    <w:rsid w:val="1C7E52F6"/>
    <w:rsid w:val="1C7E5910"/>
    <w:rsid w:val="1C8A179F"/>
    <w:rsid w:val="1C986C96"/>
    <w:rsid w:val="1C9C180B"/>
    <w:rsid w:val="1C9F0025"/>
    <w:rsid w:val="1CAE0268"/>
    <w:rsid w:val="1CC00E4E"/>
    <w:rsid w:val="1CC10B52"/>
    <w:rsid w:val="1CCC725F"/>
    <w:rsid w:val="1CD53DBF"/>
    <w:rsid w:val="1CDB373E"/>
    <w:rsid w:val="1CE27F12"/>
    <w:rsid w:val="1CE65EB6"/>
    <w:rsid w:val="1CE95744"/>
    <w:rsid w:val="1CF00DBA"/>
    <w:rsid w:val="1D0807A5"/>
    <w:rsid w:val="1D090ADB"/>
    <w:rsid w:val="1D0E00EC"/>
    <w:rsid w:val="1D1939ED"/>
    <w:rsid w:val="1D1F62E2"/>
    <w:rsid w:val="1D2101C2"/>
    <w:rsid w:val="1D29203C"/>
    <w:rsid w:val="1D294E26"/>
    <w:rsid w:val="1D297AB2"/>
    <w:rsid w:val="1D5613CC"/>
    <w:rsid w:val="1D652F47"/>
    <w:rsid w:val="1D657F1B"/>
    <w:rsid w:val="1D6926C1"/>
    <w:rsid w:val="1D7A117D"/>
    <w:rsid w:val="1D880D96"/>
    <w:rsid w:val="1D9A1B1C"/>
    <w:rsid w:val="1D9B3BF5"/>
    <w:rsid w:val="1D9E241B"/>
    <w:rsid w:val="1DA014B3"/>
    <w:rsid w:val="1DB213DC"/>
    <w:rsid w:val="1DBF4C41"/>
    <w:rsid w:val="1DCE7F11"/>
    <w:rsid w:val="1DD0331B"/>
    <w:rsid w:val="1DDD1BD4"/>
    <w:rsid w:val="1DE0672A"/>
    <w:rsid w:val="1DFD4F3E"/>
    <w:rsid w:val="1E021E39"/>
    <w:rsid w:val="1E0358BF"/>
    <w:rsid w:val="1E244853"/>
    <w:rsid w:val="1E28091B"/>
    <w:rsid w:val="1E286DFF"/>
    <w:rsid w:val="1E2D10E0"/>
    <w:rsid w:val="1E344C44"/>
    <w:rsid w:val="1E3D3A5F"/>
    <w:rsid w:val="1E3E15B2"/>
    <w:rsid w:val="1E3E4FF3"/>
    <w:rsid w:val="1E4F234C"/>
    <w:rsid w:val="1E5D2340"/>
    <w:rsid w:val="1E620067"/>
    <w:rsid w:val="1E632548"/>
    <w:rsid w:val="1E6D6D7F"/>
    <w:rsid w:val="1E7B5267"/>
    <w:rsid w:val="1E9004FA"/>
    <w:rsid w:val="1E9646FF"/>
    <w:rsid w:val="1E966318"/>
    <w:rsid w:val="1EA11680"/>
    <w:rsid w:val="1EA64B76"/>
    <w:rsid w:val="1EC3007D"/>
    <w:rsid w:val="1EC54812"/>
    <w:rsid w:val="1ECF054D"/>
    <w:rsid w:val="1ED76E60"/>
    <w:rsid w:val="1EEF0243"/>
    <w:rsid w:val="1EEF5642"/>
    <w:rsid w:val="1F045F88"/>
    <w:rsid w:val="1F3D5A2B"/>
    <w:rsid w:val="1F422AE4"/>
    <w:rsid w:val="1F434323"/>
    <w:rsid w:val="1F4E0DE8"/>
    <w:rsid w:val="1F77383F"/>
    <w:rsid w:val="1F7E73A9"/>
    <w:rsid w:val="1F83291B"/>
    <w:rsid w:val="1F87452F"/>
    <w:rsid w:val="1F875D46"/>
    <w:rsid w:val="1F896D6A"/>
    <w:rsid w:val="1F95416B"/>
    <w:rsid w:val="1FA77244"/>
    <w:rsid w:val="1FB72D07"/>
    <w:rsid w:val="1FC37E78"/>
    <w:rsid w:val="1FD54EF5"/>
    <w:rsid w:val="1FF52A08"/>
    <w:rsid w:val="1FFD0BB5"/>
    <w:rsid w:val="200050CC"/>
    <w:rsid w:val="2003179C"/>
    <w:rsid w:val="2003268C"/>
    <w:rsid w:val="200B5C0B"/>
    <w:rsid w:val="200D1367"/>
    <w:rsid w:val="20150AF2"/>
    <w:rsid w:val="201C4CA7"/>
    <w:rsid w:val="20201E76"/>
    <w:rsid w:val="202C422E"/>
    <w:rsid w:val="2033450B"/>
    <w:rsid w:val="203E1903"/>
    <w:rsid w:val="20526EB3"/>
    <w:rsid w:val="2064551F"/>
    <w:rsid w:val="206D6F3E"/>
    <w:rsid w:val="207D3B26"/>
    <w:rsid w:val="209875C0"/>
    <w:rsid w:val="209C2B3E"/>
    <w:rsid w:val="20B35BED"/>
    <w:rsid w:val="20B36678"/>
    <w:rsid w:val="20B47E17"/>
    <w:rsid w:val="20BD4F1E"/>
    <w:rsid w:val="20CA66FD"/>
    <w:rsid w:val="20D112FB"/>
    <w:rsid w:val="20D13B63"/>
    <w:rsid w:val="20E85164"/>
    <w:rsid w:val="20ED5FC1"/>
    <w:rsid w:val="20F50EA7"/>
    <w:rsid w:val="211E047D"/>
    <w:rsid w:val="212B1CCB"/>
    <w:rsid w:val="212D5B2C"/>
    <w:rsid w:val="213F2BAB"/>
    <w:rsid w:val="214E088D"/>
    <w:rsid w:val="215C01B1"/>
    <w:rsid w:val="21603FBE"/>
    <w:rsid w:val="2194182A"/>
    <w:rsid w:val="21A77AE0"/>
    <w:rsid w:val="21B667D4"/>
    <w:rsid w:val="21B87BA4"/>
    <w:rsid w:val="21D50128"/>
    <w:rsid w:val="21D555AC"/>
    <w:rsid w:val="21DD7568"/>
    <w:rsid w:val="21F04E7F"/>
    <w:rsid w:val="22165C38"/>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67C76"/>
    <w:rsid w:val="229949E3"/>
    <w:rsid w:val="22B24BDD"/>
    <w:rsid w:val="22C01A09"/>
    <w:rsid w:val="22C52F66"/>
    <w:rsid w:val="22C708C4"/>
    <w:rsid w:val="22C7230E"/>
    <w:rsid w:val="22C8229D"/>
    <w:rsid w:val="22D842DA"/>
    <w:rsid w:val="22E71D38"/>
    <w:rsid w:val="22EA0933"/>
    <w:rsid w:val="22EC07EF"/>
    <w:rsid w:val="22EE4B61"/>
    <w:rsid w:val="22EE7D2D"/>
    <w:rsid w:val="22F10EAE"/>
    <w:rsid w:val="22FC7D64"/>
    <w:rsid w:val="23036601"/>
    <w:rsid w:val="230D48E9"/>
    <w:rsid w:val="232079E6"/>
    <w:rsid w:val="2321231C"/>
    <w:rsid w:val="23331BF5"/>
    <w:rsid w:val="233D0BA3"/>
    <w:rsid w:val="23425054"/>
    <w:rsid w:val="234611FA"/>
    <w:rsid w:val="234A56F8"/>
    <w:rsid w:val="23501055"/>
    <w:rsid w:val="235B5E01"/>
    <w:rsid w:val="235B7F06"/>
    <w:rsid w:val="23686C68"/>
    <w:rsid w:val="236C5D90"/>
    <w:rsid w:val="236E4580"/>
    <w:rsid w:val="237C6924"/>
    <w:rsid w:val="23801CB6"/>
    <w:rsid w:val="23822F4E"/>
    <w:rsid w:val="2390111C"/>
    <w:rsid w:val="23957A8C"/>
    <w:rsid w:val="23A10B26"/>
    <w:rsid w:val="23A7715D"/>
    <w:rsid w:val="23B26890"/>
    <w:rsid w:val="23B430BC"/>
    <w:rsid w:val="23BD3CBF"/>
    <w:rsid w:val="23CA51A8"/>
    <w:rsid w:val="23CC7174"/>
    <w:rsid w:val="23DF1584"/>
    <w:rsid w:val="23E42C88"/>
    <w:rsid w:val="23FA639B"/>
    <w:rsid w:val="23FD4981"/>
    <w:rsid w:val="24131E75"/>
    <w:rsid w:val="241C3500"/>
    <w:rsid w:val="241C3808"/>
    <w:rsid w:val="242530D9"/>
    <w:rsid w:val="243A2CDC"/>
    <w:rsid w:val="24450C8E"/>
    <w:rsid w:val="24505030"/>
    <w:rsid w:val="24544436"/>
    <w:rsid w:val="246254F1"/>
    <w:rsid w:val="246256CC"/>
    <w:rsid w:val="246A5AC3"/>
    <w:rsid w:val="2480376B"/>
    <w:rsid w:val="24803A09"/>
    <w:rsid w:val="24805846"/>
    <w:rsid w:val="248C219B"/>
    <w:rsid w:val="24941808"/>
    <w:rsid w:val="249F59AA"/>
    <w:rsid w:val="24A567BE"/>
    <w:rsid w:val="24A77CC7"/>
    <w:rsid w:val="24AA572C"/>
    <w:rsid w:val="24B11A33"/>
    <w:rsid w:val="24BD0D51"/>
    <w:rsid w:val="24D65B77"/>
    <w:rsid w:val="24EB7C26"/>
    <w:rsid w:val="24F77329"/>
    <w:rsid w:val="24FC6EB5"/>
    <w:rsid w:val="250107BC"/>
    <w:rsid w:val="250170D7"/>
    <w:rsid w:val="250C1416"/>
    <w:rsid w:val="25215F5B"/>
    <w:rsid w:val="25287EFC"/>
    <w:rsid w:val="25305A8C"/>
    <w:rsid w:val="25314CEF"/>
    <w:rsid w:val="253506B3"/>
    <w:rsid w:val="253F224B"/>
    <w:rsid w:val="255710E7"/>
    <w:rsid w:val="255F47F5"/>
    <w:rsid w:val="25696F6D"/>
    <w:rsid w:val="25787665"/>
    <w:rsid w:val="258409DC"/>
    <w:rsid w:val="2585705F"/>
    <w:rsid w:val="258623A5"/>
    <w:rsid w:val="25923602"/>
    <w:rsid w:val="259823ED"/>
    <w:rsid w:val="25A04D0A"/>
    <w:rsid w:val="25B306C7"/>
    <w:rsid w:val="25CC1B09"/>
    <w:rsid w:val="25CE43CE"/>
    <w:rsid w:val="25DC7BF4"/>
    <w:rsid w:val="25E130D5"/>
    <w:rsid w:val="25EF09CC"/>
    <w:rsid w:val="25F018F1"/>
    <w:rsid w:val="25FD7B6A"/>
    <w:rsid w:val="26123E85"/>
    <w:rsid w:val="261E1B8F"/>
    <w:rsid w:val="262E79BC"/>
    <w:rsid w:val="26436B55"/>
    <w:rsid w:val="26454B11"/>
    <w:rsid w:val="264616B2"/>
    <w:rsid w:val="264B5C5F"/>
    <w:rsid w:val="264F0D93"/>
    <w:rsid w:val="265911BA"/>
    <w:rsid w:val="265E5FBA"/>
    <w:rsid w:val="26600667"/>
    <w:rsid w:val="266C74E3"/>
    <w:rsid w:val="268A268F"/>
    <w:rsid w:val="268E25DD"/>
    <w:rsid w:val="26997A56"/>
    <w:rsid w:val="269A4AD7"/>
    <w:rsid w:val="269C4E0B"/>
    <w:rsid w:val="269C55D5"/>
    <w:rsid w:val="26A75199"/>
    <w:rsid w:val="26AD3471"/>
    <w:rsid w:val="26C17B69"/>
    <w:rsid w:val="26C33FFE"/>
    <w:rsid w:val="26C64400"/>
    <w:rsid w:val="26CE36E5"/>
    <w:rsid w:val="26E31B06"/>
    <w:rsid w:val="26E6217B"/>
    <w:rsid w:val="26FC7D13"/>
    <w:rsid w:val="26FF6276"/>
    <w:rsid w:val="27037513"/>
    <w:rsid w:val="27117BFF"/>
    <w:rsid w:val="27135D4E"/>
    <w:rsid w:val="27203EEB"/>
    <w:rsid w:val="2754129C"/>
    <w:rsid w:val="27542CCB"/>
    <w:rsid w:val="27566510"/>
    <w:rsid w:val="27603EC1"/>
    <w:rsid w:val="27851A0B"/>
    <w:rsid w:val="27876136"/>
    <w:rsid w:val="279462F5"/>
    <w:rsid w:val="27A06CC5"/>
    <w:rsid w:val="27B34755"/>
    <w:rsid w:val="27B506FD"/>
    <w:rsid w:val="27BB6190"/>
    <w:rsid w:val="27C112E1"/>
    <w:rsid w:val="27DB14BA"/>
    <w:rsid w:val="27DD6376"/>
    <w:rsid w:val="27DE6D28"/>
    <w:rsid w:val="27E03D9F"/>
    <w:rsid w:val="27E07DE8"/>
    <w:rsid w:val="27E862A2"/>
    <w:rsid w:val="27EF19B8"/>
    <w:rsid w:val="27FE488A"/>
    <w:rsid w:val="280334C5"/>
    <w:rsid w:val="2804309E"/>
    <w:rsid w:val="28071DAC"/>
    <w:rsid w:val="28130274"/>
    <w:rsid w:val="281459A7"/>
    <w:rsid w:val="28327F9F"/>
    <w:rsid w:val="2841272B"/>
    <w:rsid w:val="28454B2D"/>
    <w:rsid w:val="285C6DCA"/>
    <w:rsid w:val="28603EB7"/>
    <w:rsid w:val="286930B9"/>
    <w:rsid w:val="286A5D40"/>
    <w:rsid w:val="286F6AEE"/>
    <w:rsid w:val="287967D6"/>
    <w:rsid w:val="28910825"/>
    <w:rsid w:val="289A4C69"/>
    <w:rsid w:val="28AB4E56"/>
    <w:rsid w:val="28AC4758"/>
    <w:rsid w:val="28AE3251"/>
    <w:rsid w:val="28B2405D"/>
    <w:rsid w:val="28C04C4C"/>
    <w:rsid w:val="28C82DD8"/>
    <w:rsid w:val="28E07697"/>
    <w:rsid w:val="28E824C9"/>
    <w:rsid w:val="28EC4FBD"/>
    <w:rsid w:val="28EC7622"/>
    <w:rsid w:val="28EE5156"/>
    <w:rsid w:val="28FB73A9"/>
    <w:rsid w:val="2900631A"/>
    <w:rsid w:val="291173EA"/>
    <w:rsid w:val="291268CF"/>
    <w:rsid w:val="291470DB"/>
    <w:rsid w:val="292A3D9E"/>
    <w:rsid w:val="292E34BD"/>
    <w:rsid w:val="29340781"/>
    <w:rsid w:val="29470E70"/>
    <w:rsid w:val="29482C06"/>
    <w:rsid w:val="296206AF"/>
    <w:rsid w:val="297045CA"/>
    <w:rsid w:val="298040D2"/>
    <w:rsid w:val="298E1846"/>
    <w:rsid w:val="298F5ED7"/>
    <w:rsid w:val="29A009BF"/>
    <w:rsid w:val="29A03A03"/>
    <w:rsid w:val="29BC6F56"/>
    <w:rsid w:val="29DA2DCF"/>
    <w:rsid w:val="29E17A78"/>
    <w:rsid w:val="29E439C2"/>
    <w:rsid w:val="29FB6096"/>
    <w:rsid w:val="2A070FB7"/>
    <w:rsid w:val="2A0F7329"/>
    <w:rsid w:val="2A132508"/>
    <w:rsid w:val="2A1D0B14"/>
    <w:rsid w:val="2A225936"/>
    <w:rsid w:val="2A3A79B3"/>
    <w:rsid w:val="2A53353C"/>
    <w:rsid w:val="2A5534B9"/>
    <w:rsid w:val="2A57508D"/>
    <w:rsid w:val="2A5D2041"/>
    <w:rsid w:val="2A6F2F5D"/>
    <w:rsid w:val="2A713219"/>
    <w:rsid w:val="2A755211"/>
    <w:rsid w:val="2A7A1212"/>
    <w:rsid w:val="2A8A0E3C"/>
    <w:rsid w:val="2A8D0991"/>
    <w:rsid w:val="2A936E4D"/>
    <w:rsid w:val="2A9D36CA"/>
    <w:rsid w:val="2AA1252A"/>
    <w:rsid w:val="2AA37910"/>
    <w:rsid w:val="2AAE121F"/>
    <w:rsid w:val="2AAF72FB"/>
    <w:rsid w:val="2AC309F8"/>
    <w:rsid w:val="2AD80D1A"/>
    <w:rsid w:val="2AE863AE"/>
    <w:rsid w:val="2AF156B3"/>
    <w:rsid w:val="2AF7102C"/>
    <w:rsid w:val="2B0158CD"/>
    <w:rsid w:val="2B0A133F"/>
    <w:rsid w:val="2B50728E"/>
    <w:rsid w:val="2B520F1D"/>
    <w:rsid w:val="2B684964"/>
    <w:rsid w:val="2B687D7B"/>
    <w:rsid w:val="2B694E68"/>
    <w:rsid w:val="2B791766"/>
    <w:rsid w:val="2B7F05AB"/>
    <w:rsid w:val="2B855D6F"/>
    <w:rsid w:val="2B924276"/>
    <w:rsid w:val="2BA32F62"/>
    <w:rsid w:val="2BAD6A07"/>
    <w:rsid w:val="2BB53941"/>
    <w:rsid w:val="2BBE3BE5"/>
    <w:rsid w:val="2BCB64C7"/>
    <w:rsid w:val="2BD92E3F"/>
    <w:rsid w:val="2BD96F73"/>
    <w:rsid w:val="2BDE12CD"/>
    <w:rsid w:val="2BE25A98"/>
    <w:rsid w:val="2BE37625"/>
    <w:rsid w:val="2BE86CA8"/>
    <w:rsid w:val="2BEC7697"/>
    <w:rsid w:val="2BF01660"/>
    <w:rsid w:val="2BF2460D"/>
    <w:rsid w:val="2BF56003"/>
    <w:rsid w:val="2C045AC7"/>
    <w:rsid w:val="2C20470A"/>
    <w:rsid w:val="2C217016"/>
    <w:rsid w:val="2C2F0132"/>
    <w:rsid w:val="2C4A36EA"/>
    <w:rsid w:val="2C550ACB"/>
    <w:rsid w:val="2C571774"/>
    <w:rsid w:val="2C595F36"/>
    <w:rsid w:val="2C5B5F15"/>
    <w:rsid w:val="2C676E85"/>
    <w:rsid w:val="2C825C0E"/>
    <w:rsid w:val="2C837851"/>
    <w:rsid w:val="2C912F01"/>
    <w:rsid w:val="2CA0428D"/>
    <w:rsid w:val="2CA60204"/>
    <w:rsid w:val="2CAB6D99"/>
    <w:rsid w:val="2CC122AF"/>
    <w:rsid w:val="2CC62607"/>
    <w:rsid w:val="2CC90499"/>
    <w:rsid w:val="2CD566E0"/>
    <w:rsid w:val="2CDE1D5D"/>
    <w:rsid w:val="2CE1145B"/>
    <w:rsid w:val="2CEE5D0C"/>
    <w:rsid w:val="2CFB1ACD"/>
    <w:rsid w:val="2CFC166C"/>
    <w:rsid w:val="2D0C4370"/>
    <w:rsid w:val="2D19422F"/>
    <w:rsid w:val="2D1B612E"/>
    <w:rsid w:val="2D272A78"/>
    <w:rsid w:val="2D294D17"/>
    <w:rsid w:val="2D2D77E4"/>
    <w:rsid w:val="2D302844"/>
    <w:rsid w:val="2D3216F7"/>
    <w:rsid w:val="2D340907"/>
    <w:rsid w:val="2D422B39"/>
    <w:rsid w:val="2D4B41B4"/>
    <w:rsid w:val="2D4B565F"/>
    <w:rsid w:val="2D5C7521"/>
    <w:rsid w:val="2D664F53"/>
    <w:rsid w:val="2D7149C3"/>
    <w:rsid w:val="2D747094"/>
    <w:rsid w:val="2D863523"/>
    <w:rsid w:val="2D992C03"/>
    <w:rsid w:val="2DA216C6"/>
    <w:rsid w:val="2DA33153"/>
    <w:rsid w:val="2DAD1E76"/>
    <w:rsid w:val="2DB50AD8"/>
    <w:rsid w:val="2DB653BC"/>
    <w:rsid w:val="2DC83F7E"/>
    <w:rsid w:val="2DFB0C12"/>
    <w:rsid w:val="2E0940C9"/>
    <w:rsid w:val="2E11532A"/>
    <w:rsid w:val="2E2C7B59"/>
    <w:rsid w:val="2E5111CF"/>
    <w:rsid w:val="2E512381"/>
    <w:rsid w:val="2E6D0A1B"/>
    <w:rsid w:val="2E7C6418"/>
    <w:rsid w:val="2E896136"/>
    <w:rsid w:val="2E904A45"/>
    <w:rsid w:val="2E921142"/>
    <w:rsid w:val="2E9238C2"/>
    <w:rsid w:val="2E972F4E"/>
    <w:rsid w:val="2E987C9D"/>
    <w:rsid w:val="2EBC2DDB"/>
    <w:rsid w:val="2EDE6676"/>
    <w:rsid w:val="2EDF3C70"/>
    <w:rsid w:val="2EE62071"/>
    <w:rsid w:val="2F181834"/>
    <w:rsid w:val="2F1877C3"/>
    <w:rsid w:val="2F1D3166"/>
    <w:rsid w:val="2F1E4AC6"/>
    <w:rsid w:val="2F3D2575"/>
    <w:rsid w:val="2F4D56BE"/>
    <w:rsid w:val="2F5F6DC2"/>
    <w:rsid w:val="2F634EE2"/>
    <w:rsid w:val="2F715E38"/>
    <w:rsid w:val="2F7313FD"/>
    <w:rsid w:val="2F732A13"/>
    <w:rsid w:val="2F941D65"/>
    <w:rsid w:val="2FA43F61"/>
    <w:rsid w:val="2FA96F2B"/>
    <w:rsid w:val="2FAE669D"/>
    <w:rsid w:val="2FB35201"/>
    <w:rsid w:val="2FBD3AD7"/>
    <w:rsid w:val="2FF9240C"/>
    <w:rsid w:val="2FF946AE"/>
    <w:rsid w:val="2FFD2F9F"/>
    <w:rsid w:val="30292045"/>
    <w:rsid w:val="304537EB"/>
    <w:rsid w:val="304835DA"/>
    <w:rsid w:val="304D1B6D"/>
    <w:rsid w:val="305059B1"/>
    <w:rsid w:val="305E3A75"/>
    <w:rsid w:val="305E47CA"/>
    <w:rsid w:val="30726515"/>
    <w:rsid w:val="308C47E8"/>
    <w:rsid w:val="308D2CDE"/>
    <w:rsid w:val="30904197"/>
    <w:rsid w:val="30972D75"/>
    <w:rsid w:val="309A496D"/>
    <w:rsid w:val="30A413BA"/>
    <w:rsid w:val="30AC2D28"/>
    <w:rsid w:val="30BB31C8"/>
    <w:rsid w:val="30BC2C33"/>
    <w:rsid w:val="30C0620D"/>
    <w:rsid w:val="30CF2B57"/>
    <w:rsid w:val="30D34409"/>
    <w:rsid w:val="30DC76BD"/>
    <w:rsid w:val="30E43E01"/>
    <w:rsid w:val="30FD59F3"/>
    <w:rsid w:val="30FE700B"/>
    <w:rsid w:val="3120701A"/>
    <w:rsid w:val="312316A3"/>
    <w:rsid w:val="312C5189"/>
    <w:rsid w:val="313B489A"/>
    <w:rsid w:val="315238A4"/>
    <w:rsid w:val="31551F9A"/>
    <w:rsid w:val="315C56BE"/>
    <w:rsid w:val="315D6C8B"/>
    <w:rsid w:val="316546A0"/>
    <w:rsid w:val="316D71E4"/>
    <w:rsid w:val="31802A8F"/>
    <w:rsid w:val="3181495E"/>
    <w:rsid w:val="318B193E"/>
    <w:rsid w:val="31931ABF"/>
    <w:rsid w:val="31A10BF5"/>
    <w:rsid w:val="31A55C86"/>
    <w:rsid w:val="31A812D2"/>
    <w:rsid w:val="31A970A8"/>
    <w:rsid w:val="31AB1E21"/>
    <w:rsid w:val="31B75CB4"/>
    <w:rsid w:val="31BE052E"/>
    <w:rsid w:val="31CA483D"/>
    <w:rsid w:val="31D156FC"/>
    <w:rsid w:val="31F434C6"/>
    <w:rsid w:val="320475C1"/>
    <w:rsid w:val="320F2803"/>
    <w:rsid w:val="321043B9"/>
    <w:rsid w:val="32164D38"/>
    <w:rsid w:val="3220530C"/>
    <w:rsid w:val="322713CA"/>
    <w:rsid w:val="322A670F"/>
    <w:rsid w:val="32432616"/>
    <w:rsid w:val="3243394A"/>
    <w:rsid w:val="32460866"/>
    <w:rsid w:val="324C6483"/>
    <w:rsid w:val="324E5E77"/>
    <w:rsid w:val="32522469"/>
    <w:rsid w:val="32776BA9"/>
    <w:rsid w:val="327B2A0D"/>
    <w:rsid w:val="329D3CFC"/>
    <w:rsid w:val="32A5100A"/>
    <w:rsid w:val="32B45676"/>
    <w:rsid w:val="32C5561F"/>
    <w:rsid w:val="32DC084A"/>
    <w:rsid w:val="32E12CEE"/>
    <w:rsid w:val="32E34CE2"/>
    <w:rsid w:val="32F669C8"/>
    <w:rsid w:val="33001B7A"/>
    <w:rsid w:val="331535A7"/>
    <w:rsid w:val="33182DFB"/>
    <w:rsid w:val="331A0CC8"/>
    <w:rsid w:val="331A7AF8"/>
    <w:rsid w:val="33226E62"/>
    <w:rsid w:val="3324614F"/>
    <w:rsid w:val="33547948"/>
    <w:rsid w:val="335F2062"/>
    <w:rsid w:val="33686602"/>
    <w:rsid w:val="3369637D"/>
    <w:rsid w:val="336A7882"/>
    <w:rsid w:val="33842ECB"/>
    <w:rsid w:val="33884E93"/>
    <w:rsid w:val="339771F4"/>
    <w:rsid w:val="339B1393"/>
    <w:rsid w:val="33A255C6"/>
    <w:rsid w:val="33B71F93"/>
    <w:rsid w:val="33BF2903"/>
    <w:rsid w:val="33CD6404"/>
    <w:rsid w:val="33D04640"/>
    <w:rsid w:val="33D354D0"/>
    <w:rsid w:val="33D46EDF"/>
    <w:rsid w:val="33EE148C"/>
    <w:rsid w:val="33EF3CEA"/>
    <w:rsid w:val="33F07711"/>
    <w:rsid w:val="33FC203D"/>
    <w:rsid w:val="3406286A"/>
    <w:rsid w:val="34222A44"/>
    <w:rsid w:val="343E41D2"/>
    <w:rsid w:val="345B1B4D"/>
    <w:rsid w:val="3464291B"/>
    <w:rsid w:val="34840E64"/>
    <w:rsid w:val="34890588"/>
    <w:rsid w:val="34910F9E"/>
    <w:rsid w:val="34911926"/>
    <w:rsid w:val="34927084"/>
    <w:rsid w:val="349928CF"/>
    <w:rsid w:val="34A76BD5"/>
    <w:rsid w:val="34AF3A6D"/>
    <w:rsid w:val="34B64338"/>
    <w:rsid w:val="34BD011B"/>
    <w:rsid w:val="34CD4B64"/>
    <w:rsid w:val="34D72B0D"/>
    <w:rsid w:val="34DC640B"/>
    <w:rsid w:val="34DF5BDE"/>
    <w:rsid w:val="34EE06B7"/>
    <w:rsid w:val="34F24CD0"/>
    <w:rsid w:val="34FD7410"/>
    <w:rsid w:val="35020CF9"/>
    <w:rsid w:val="351A6043"/>
    <w:rsid w:val="351C0EA2"/>
    <w:rsid w:val="351C625F"/>
    <w:rsid w:val="351D3D85"/>
    <w:rsid w:val="35236897"/>
    <w:rsid w:val="3525520B"/>
    <w:rsid w:val="35255512"/>
    <w:rsid w:val="35280DC0"/>
    <w:rsid w:val="3542168B"/>
    <w:rsid w:val="35461EBC"/>
    <w:rsid w:val="354716FF"/>
    <w:rsid w:val="354D7F75"/>
    <w:rsid w:val="354E7EA3"/>
    <w:rsid w:val="355A12E4"/>
    <w:rsid w:val="355F7EFA"/>
    <w:rsid w:val="35605956"/>
    <w:rsid w:val="35756336"/>
    <w:rsid w:val="3585603E"/>
    <w:rsid w:val="358D25A9"/>
    <w:rsid w:val="358D30B5"/>
    <w:rsid w:val="358F21E7"/>
    <w:rsid w:val="35914AC1"/>
    <w:rsid w:val="35921F18"/>
    <w:rsid w:val="359706D2"/>
    <w:rsid w:val="35A16764"/>
    <w:rsid w:val="35A303EA"/>
    <w:rsid w:val="35A80566"/>
    <w:rsid w:val="35AA4F6C"/>
    <w:rsid w:val="35BE2E72"/>
    <w:rsid w:val="35F73CF2"/>
    <w:rsid w:val="360407DE"/>
    <w:rsid w:val="361E461E"/>
    <w:rsid w:val="362236CD"/>
    <w:rsid w:val="364D069A"/>
    <w:rsid w:val="36507137"/>
    <w:rsid w:val="365628C0"/>
    <w:rsid w:val="365D071B"/>
    <w:rsid w:val="365E4E53"/>
    <w:rsid w:val="36657792"/>
    <w:rsid w:val="36741C91"/>
    <w:rsid w:val="367451EA"/>
    <w:rsid w:val="36745F37"/>
    <w:rsid w:val="368220F2"/>
    <w:rsid w:val="36826C73"/>
    <w:rsid w:val="368C5779"/>
    <w:rsid w:val="36943485"/>
    <w:rsid w:val="369D3512"/>
    <w:rsid w:val="36AD7FE4"/>
    <w:rsid w:val="36B54F4A"/>
    <w:rsid w:val="36B6196C"/>
    <w:rsid w:val="36C4252E"/>
    <w:rsid w:val="36D01095"/>
    <w:rsid w:val="36DA2FB5"/>
    <w:rsid w:val="36E1641D"/>
    <w:rsid w:val="36E6311A"/>
    <w:rsid w:val="36F13492"/>
    <w:rsid w:val="36FD3CFD"/>
    <w:rsid w:val="37024C59"/>
    <w:rsid w:val="370A2947"/>
    <w:rsid w:val="370F2612"/>
    <w:rsid w:val="37101BB1"/>
    <w:rsid w:val="371C0798"/>
    <w:rsid w:val="37237B4D"/>
    <w:rsid w:val="3729161C"/>
    <w:rsid w:val="372F0DF2"/>
    <w:rsid w:val="373677D5"/>
    <w:rsid w:val="37421881"/>
    <w:rsid w:val="37433BFB"/>
    <w:rsid w:val="37471BEF"/>
    <w:rsid w:val="37563B82"/>
    <w:rsid w:val="376712E7"/>
    <w:rsid w:val="376923BA"/>
    <w:rsid w:val="37733813"/>
    <w:rsid w:val="377C7E0E"/>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27564E"/>
    <w:rsid w:val="38341B70"/>
    <w:rsid w:val="386211A0"/>
    <w:rsid w:val="38774AC4"/>
    <w:rsid w:val="387A2AEC"/>
    <w:rsid w:val="38980B25"/>
    <w:rsid w:val="38B676A5"/>
    <w:rsid w:val="38B91722"/>
    <w:rsid w:val="38F86829"/>
    <w:rsid w:val="39097304"/>
    <w:rsid w:val="39205BF2"/>
    <w:rsid w:val="3922196A"/>
    <w:rsid w:val="392502E5"/>
    <w:rsid w:val="393741B4"/>
    <w:rsid w:val="39531710"/>
    <w:rsid w:val="395D3D25"/>
    <w:rsid w:val="395F496C"/>
    <w:rsid w:val="396804A8"/>
    <w:rsid w:val="396B3903"/>
    <w:rsid w:val="397074D5"/>
    <w:rsid w:val="397B405B"/>
    <w:rsid w:val="397D525A"/>
    <w:rsid w:val="39965EB4"/>
    <w:rsid w:val="39981BEB"/>
    <w:rsid w:val="39AC75EE"/>
    <w:rsid w:val="39B916DF"/>
    <w:rsid w:val="39BB0FFD"/>
    <w:rsid w:val="39DC2DAA"/>
    <w:rsid w:val="39DD0D52"/>
    <w:rsid w:val="39E81252"/>
    <w:rsid w:val="39ED01CA"/>
    <w:rsid w:val="39EE69BC"/>
    <w:rsid w:val="39F01DE6"/>
    <w:rsid w:val="39F24125"/>
    <w:rsid w:val="39FC21BB"/>
    <w:rsid w:val="3A00359B"/>
    <w:rsid w:val="3A24028F"/>
    <w:rsid w:val="3A3718D6"/>
    <w:rsid w:val="3A4660AA"/>
    <w:rsid w:val="3A5E3659"/>
    <w:rsid w:val="3A602D2B"/>
    <w:rsid w:val="3A64520B"/>
    <w:rsid w:val="3A750770"/>
    <w:rsid w:val="3A7D3282"/>
    <w:rsid w:val="3A83468A"/>
    <w:rsid w:val="3A9F77C4"/>
    <w:rsid w:val="3AE8089A"/>
    <w:rsid w:val="3AF20ADE"/>
    <w:rsid w:val="3AFB240E"/>
    <w:rsid w:val="3AFD5CD9"/>
    <w:rsid w:val="3B1919AB"/>
    <w:rsid w:val="3B246193"/>
    <w:rsid w:val="3B2C4003"/>
    <w:rsid w:val="3B2C4D22"/>
    <w:rsid w:val="3B322AFF"/>
    <w:rsid w:val="3B340B6C"/>
    <w:rsid w:val="3B3616FD"/>
    <w:rsid w:val="3B523D08"/>
    <w:rsid w:val="3B5E09F6"/>
    <w:rsid w:val="3B6B12B0"/>
    <w:rsid w:val="3B790184"/>
    <w:rsid w:val="3B7E49FA"/>
    <w:rsid w:val="3B88270F"/>
    <w:rsid w:val="3B8C153A"/>
    <w:rsid w:val="3B8F24B5"/>
    <w:rsid w:val="3BAB27D1"/>
    <w:rsid w:val="3BAD7364"/>
    <w:rsid w:val="3BBB22A6"/>
    <w:rsid w:val="3BBE60C2"/>
    <w:rsid w:val="3BC34952"/>
    <w:rsid w:val="3BCB0097"/>
    <w:rsid w:val="3BCB453B"/>
    <w:rsid w:val="3BE01FA9"/>
    <w:rsid w:val="3BE82D14"/>
    <w:rsid w:val="3BEA7FE9"/>
    <w:rsid w:val="3BFC2F3F"/>
    <w:rsid w:val="3C05618E"/>
    <w:rsid w:val="3C0C5C53"/>
    <w:rsid w:val="3C25022E"/>
    <w:rsid w:val="3C2C06BD"/>
    <w:rsid w:val="3C343788"/>
    <w:rsid w:val="3C435976"/>
    <w:rsid w:val="3C5B4206"/>
    <w:rsid w:val="3C64645A"/>
    <w:rsid w:val="3C656018"/>
    <w:rsid w:val="3C667DB0"/>
    <w:rsid w:val="3C6C06DF"/>
    <w:rsid w:val="3C7B68BB"/>
    <w:rsid w:val="3C7E695B"/>
    <w:rsid w:val="3C8A4CBA"/>
    <w:rsid w:val="3C8D11AD"/>
    <w:rsid w:val="3C946D71"/>
    <w:rsid w:val="3CAE79D6"/>
    <w:rsid w:val="3CB369E7"/>
    <w:rsid w:val="3CB83945"/>
    <w:rsid w:val="3CC106AE"/>
    <w:rsid w:val="3CCE5337"/>
    <w:rsid w:val="3CDA3E5E"/>
    <w:rsid w:val="3D0A559A"/>
    <w:rsid w:val="3D1E14E7"/>
    <w:rsid w:val="3D255602"/>
    <w:rsid w:val="3D3A558F"/>
    <w:rsid w:val="3D3C3A49"/>
    <w:rsid w:val="3D3D225B"/>
    <w:rsid w:val="3D577E3C"/>
    <w:rsid w:val="3D6C3114"/>
    <w:rsid w:val="3D7A74DC"/>
    <w:rsid w:val="3D7E5C88"/>
    <w:rsid w:val="3D8252C4"/>
    <w:rsid w:val="3D89645B"/>
    <w:rsid w:val="3D8C2AD7"/>
    <w:rsid w:val="3D901D9C"/>
    <w:rsid w:val="3D996C27"/>
    <w:rsid w:val="3D9B0069"/>
    <w:rsid w:val="3D9E48C4"/>
    <w:rsid w:val="3DD017C1"/>
    <w:rsid w:val="3DD27FEA"/>
    <w:rsid w:val="3DDB77FC"/>
    <w:rsid w:val="3DEF7094"/>
    <w:rsid w:val="3DFF3C37"/>
    <w:rsid w:val="3E0445FE"/>
    <w:rsid w:val="3E173072"/>
    <w:rsid w:val="3E3B08E6"/>
    <w:rsid w:val="3E3F581A"/>
    <w:rsid w:val="3E50322D"/>
    <w:rsid w:val="3E6C643E"/>
    <w:rsid w:val="3E7919F5"/>
    <w:rsid w:val="3E830253"/>
    <w:rsid w:val="3E883052"/>
    <w:rsid w:val="3E8950E5"/>
    <w:rsid w:val="3EA13331"/>
    <w:rsid w:val="3EAB50B7"/>
    <w:rsid w:val="3EB41A1A"/>
    <w:rsid w:val="3EC571FD"/>
    <w:rsid w:val="3ECF0CFF"/>
    <w:rsid w:val="3EEB4417"/>
    <w:rsid w:val="3EFC73B7"/>
    <w:rsid w:val="3F016450"/>
    <w:rsid w:val="3F082623"/>
    <w:rsid w:val="3F304E08"/>
    <w:rsid w:val="3F3D4A3D"/>
    <w:rsid w:val="3F3F4D49"/>
    <w:rsid w:val="3F4E2855"/>
    <w:rsid w:val="3F517949"/>
    <w:rsid w:val="3F537D57"/>
    <w:rsid w:val="3F5F0663"/>
    <w:rsid w:val="3F733AE9"/>
    <w:rsid w:val="3F7722E4"/>
    <w:rsid w:val="3F88009A"/>
    <w:rsid w:val="3F8A5A5C"/>
    <w:rsid w:val="3F976986"/>
    <w:rsid w:val="3F9D725A"/>
    <w:rsid w:val="3F9E25CD"/>
    <w:rsid w:val="3FA708C6"/>
    <w:rsid w:val="3FAC46C9"/>
    <w:rsid w:val="3FB528EC"/>
    <w:rsid w:val="3FBE264C"/>
    <w:rsid w:val="3FC04688"/>
    <w:rsid w:val="3FC079FF"/>
    <w:rsid w:val="3FC35C6C"/>
    <w:rsid w:val="3FCC35A6"/>
    <w:rsid w:val="3FCE355B"/>
    <w:rsid w:val="3FDB2873"/>
    <w:rsid w:val="3FE0432D"/>
    <w:rsid w:val="3FF94E2C"/>
    <w:rsid w:val="40035149"/>
    <w:rsid w:val="400351B4"/>
    <w:rsid w:val="4005743D"/>
    <w:rsid w:val="4010775A"/>
    <w:rsid w:val="40125316"/>
    <w:rsid w:val="4013337A"/>
    <w:rsid w:val="40143DF8"/>
    <w:rsid w:val="40212F54"/>
    <w:rsid w:val="40266073"/>
    <w:rsid w:val="40396DA6"/>
    <w:rsid w:val="40470673"/>
    <w:rsid w:val="404A3285"/>
    <w:rsid w:val="404A445A"/>
    <w:rsid w:val="404A52B1"/>
    <w:rsid w:val="405E23E3"/>
    <w:rsid w:val="406E3A13"/>
    <w:rsid w:val="40750F19"/>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5119B9"/>
    <w:rsid w:val="416C56EA"/>
    <w:rsid w:val="417007D7"/>
    <w:rsid w:val="41713E0B"/>
    <w:rsid w:val="41744B76"/>
    <w:rsid w:val="417F375C"/>
    <w:rsid w:val="418B7CA8"/>
    <w:rsid w:val="418D19C3"/>
    <w:rsid w:val="41953D1B"/>
    <w:rsid w:val="41BC64D5"/>
    <w:rsid w:val="41DA54BD"/>
    <w:rsid w:val="41E2613A"/>
    <w:rsid w:val="41E8185E"/>
    <w:rsid w:val="41F148BE"/>
    <w:rsid w:val="42084E7C"/>
    <w:rsid w:val="420F79EB"/>
    <w:rsid w:val="421B685C"/>
    <w:rsid w:val="42323D88"/>
    <w:rsid w:val="423F1FDD"/>
    <w:rsid w:val="42435B11"/>
    <w:rsid w:val="42554B5E"/>
    <w:rsid w:val="42584A8A"/>
    <w:rsid w:val="426116DE"/>
    <w:rsid w:val="42786A51"/>
    <w:rsid w:val="42886EC3"/>
    <w:rsid w:val="429163FD"/>
    <w:rsid w:val="42963474"/>
    <w:rsid w:val="42AA0529"/>
    <w:rsid w:val="42AF2E88"/>
    <w:rsid w:val="42B14668"/>
    <w:rsid w:val="42DF1B53"/>
    <w:rsid w:val="42E414AE"/>
    <w:rsid w:val="42F256CD"/>
    <w:rsid w:val="43171E14"/>
    <w:rsid w:val="431B6658"/>
    <w:rsid w:val="432F53AF"/>
    <w:rsid w:val="43482915"/>
    <w:rsid w:val="435E4B64"/>
    <w:rsid w:val="43636C20"/>
    <w:rsid w:val="436379C5"/>
    <w:rsid w:val="43707776"/>
    <w:rsid w:val="437A14BF"/>
    <w:rsid w:val="438A50B6"/>
    <w:rsid w:val="4399065B"/>
    <w:rsid w:val="43992916"/>
    <w:rsid w:val="43C56BDE"/>
    <w:rsid w:val="43CC5F2C"/>
    <w:rsid w:val="43DA7B28"/>
    <w:rsid w:val="43E234DF"/>
    <w:rsid w:val="43E52CC5"/>
    <w:rsid w:val="43E960F8"/>
    <w:rsid w:val="43EC292D"/>
    <w:rsid w:val="43FC25A4"/>
    <w:rsid w:val="43FF2AD0"/>
    <w:rsid w:val="44052CBA"/>
    <w:rsid w:val="440740E3"/>
    <w:rsid w:val="440954ED"/>
    <w:rsid w:val="440C143D"/>
    <w:rsid w:val="4413082D"/>
    <w:rsid w:val="44142F49"/>
    <w:rsid w:val="441E013E"/>
    <w:rsid w:val="442C7144"/>
    <w:rsid w:val="442D183B"/>
    <w:rsid w:val="443E5A02"/>
    <w:rsid w:val="444A6E63"/>
    <w:rsid w:val="444D5CD5"/>
    <w:rsid w:val="44620E2F"/>
    <w:rsid w:val="44734028"/>
    <w:rsid w:val="4475210F"/>
    <w:rsid w:val="44830EA6"/>
    <w:rsid w:val="44876E52"/>
    <w:rsid w:val="4488274F"/>
    <w:rsid w:val="449D3C54"/>
    <w:rsid w:val="44D41F91"/>
    <w:rsid w:val="44DC2DC4"/>
    <w:rsid w:val="44DD0CDA"/>
    <w:rsid w:val="44DE52DF"/>
    <w:rsid w:val="44E87738"/>
    <w:rsid w:val="44F66110"/>
    <w:rsid w:val="451D4B80"/>
    <w:rsid w:val="4523563D"/>
    <w:rsid w:val="45237196"/>
    <w:rsid w:val="452926E8"/>
    <w:rsid w:val="45340E1B"/>
    <w:rsid w:val="45512375"/>
    <w:rsid w:val="456C6947"/>
    <w:rsid w:val="456D7481"/>
    <w:rsid w:val="45742F08"/>
    <w:rsid w:val="4579370A"/>
    <w:rsid w:val="459C0CF6"/>
    <w:rsid w:val="459D0F13"/>
    <w:rsid w:val="45AE7782"/>
    <w:rsid w:val="45D02B0C"/>
    <w:rsid w:val="45D17124"/>
    <w:rsid w:val="45DB5496"/>
    <w:rsid w:val="45DC4264"/>
    <w:rsid w:val="45DD1335"/>
    <w:rsid w:val="45E21FE7"/>
    <w:rsid w:val="45ED40E2"/>
    <w:rsid w:val="45ED4FA4"/>
    <w:rsid w:val="45F1221E"/>
    <w:rsid w:val="45F262B7"/>
    <w:rsid w:val="45F865A3"/>
    <w:rsid w:val="460A2471"/>
    <w:rsid w:val="460C19D8"/>
    <w:rsid w:val="464D3810"/>
    <w:rsid w:val="464F15EF"/>
    <w:rsid w:val="465511B3"/>
    <w:rsid w:val="46575EC8"/>
    <w:rsid w:val="46677ABB"/>
    <w:rsid w:val="46737C6F"/>
    <w:rsid w:val="4693603D"/>
    <w:rsid w:val="469B6A1E"/>
    <w:rsid w:val="46A42DF8"/>
    <w:rsid w:val="46AB02D8"/>
    <w:rsid w:val="46AC61EE"/>
    <w:rsid w:val="46AF2439"/>
    <w:rsid w:val="46BE6BCD"/>
    <w:rsid w:val="46C916D3"/>
    <w:rsid w:val="46CB5C37"/>
    <w:rsid w:val="46D05B31"/>
    <w:rsid w:val="46EE0EDA"/>
    <w:rsid w:val="46F9303C"/>
    <w:rsid w:val="47094169"/>
    <w:rsid w:val="47154453"/>
    <w:rsid w:val="47210AB5"/>
    <w:rsid w:val="47355090"/>
    <w:rsid w:val="47423169"/>
    <w:rsid w:val="474336A4"/>
    <w:rsid w:val="47482A84"/>
    <w:rsid w:val="475048B6"/>
    <w:rsid w:val="47583D74"/>
    <w:rsid w:val="475F36B2"/>
    <w:rsid w:val="477D6967"/>
    <w:rsid w:val="479653C5"/>
    <w:rsid w:val="47A26A3C"/>
    <w:rsid w:val="47B53536"/>
    <w:rsid w:val="47B72BD9"/>
    <w:rsid w:val="47BE24AA"/>
    <w:rsid w:val="47BF7E31"/>
    <w:rsid w:val="47CA0AC9"/>
    <w:rsid w:val="47D7253A"/>
    <w:rsid w:val="47E2428C"/>
    <w:rsid w:val="47E77A11"/>
    <w:rsid w:val="47E83C04"/>
    <w:rsid w:val="47EE5734"/>
    <w:rsid w:val="47FB2D21"/>
    <w:rsid w:val="480E07D8"/>
    <w:rsid w:val="481C6DA3"/>
    <w:rsid w:val="482B24EA"/>
    <w:rsid w:val="4860425D"/>
    <w:rsid w:val="486924B1"/>
    <w:rsid w:val="487735EE"/>
    <w:rsid w:val="487970CD"/>
    <w:rsid w:val="488A2EB7"/>
    <w:rsid w:val="48902B3C"/>
    <w:rsid w:val="48931F3C"/>
    <w:rsid w:val="48A326ED"/>
    <w:rsid w:val="48AB58C3"/>
    <w:rsid w:val="48AD4CBD"/>
    <w:rsid w:val="48AF1997"/>
    <w:rsid w:val="48B013B1"/>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EB5D1F"/>
    <w:rsid w:val="49F15863"/>
    <w:rsid w:val="49F242C9"/>
    <w:rsid w:val="49F44FF0"/>
    <w:rsid w:val="4A030844"/>
    <w:rsid w:val="4A0D7F42"/>
    <w:rsid w:val="4A130CD4"/>
    <w:rsid w:val="4A1B647C"/>
    <w:rsid w:val="4A2A2D74"/>
    <w:rsid w:val="4A2B6F2D"/>
    <w:rsid w:val="4A2F4A4D"/>
    <w:rsid w:val="4A541C13"/>
    <w:rsid w:val="4A7D7215"/>
    <w:rsid w:val="4A845BD3"/>
    <w:rsid w:val="4A8D52FB"/>
    <w:rsid w:val="4A8D56DE"/>
    <w:rsid w:val="4A9E3173"/>
    <w:rsid w:val="4A9F7430"/>
    <w:rsid w:val="4AAA2B34"/>
    <w:rsid w:val="4AAC5368"/>
    <w:rsid w:val="4AB27A6D"/>
    <w:rsid w:val="4AB33A2C"/>
    <w:rsid w:val="4AB47A12"/>
    <w:rsid w:val="4AB538C9"/>
    <w:rsid w:val="4ABE260E"/>
    <w:rsid w:val="4AC507B2"/>
    <w:rsid w:val="4ACF0F07"/>
    <w:rsid w:val="4AD66CD6"/>
    <w:rsid w:val="4AD74653"/>
    <w:rsid w:val="4AE07DFB"/>
    <w:rsid w:val="4AE23121"/>
    <w:rsid w:val="4AEC627C"/>
    <w:rsid w:val="4AEE16B8"/>
    <w:rsid w:val="4AEF24ED"/>
    <w:rsid w:val="4AF96CB6"/>
    <w:rsid w:val="4AFB201B"/>
    <w:rsid w:val="4AFD5169"/>
    <w:rsid w:val="4B093295"/>
    <w:rsid w:val="4B0C06DC"/>
    <w:rsid w:val="4B184095"/>
    <w:rsid w:val="4B2043B8"/>
    <w:rsid w:val="4B285F31"/>
    <w:rsid w:val="4B2E3AD0"/>
    <w:rsid w:val="4B406692"/>
    <w:rsid w:val="4B460DF2"/>
    <w:rsid w:val="4B492A3B"/>
    <w:rsid w:val="4B497029"/>
    <w:rsid w:val="4B5C74E9"/>
    <w:rsid w:val="4B5F3ED9"/>
    <w:rsid w:val="4B605F8F"/>
    <w:rsid w:val="4B634726"/>
    <w:rsid w:val="4B7D0C82"/>
    <w:rsid w:val="4B8671D2"/>
    <w:rsid w:val="4B8F6E14"/>
    <w:rsid w:val="4B951AD0"/>
    <w:rsid w:val="4B9809FD"/>
    <w:rsid w:val="4BB0472C"/>
    <w:rsid w:val="4BB30D0B"/>
    <w:rsid w:val="4BB41CBD"/>
    <w:rsid w:val="4BBB33A6"/>
    <w:rsid w:val="4BBE46DB"/>
    <w:rsid w:val="4BC472D1"/>
    <w:rsid w:val="4BC54E66"/>
    <w:rsid w:val="4BC863A1"/>
    <w:rsid w:val="4BCD57A7"/>
    <w:rsid w:val="4BCF788F"/>
    <w:rsid w:val="4BD84E75"/>
    <w:rsid w:val="4BDC5224"/>
    <w:rsid w:val="4BE60A31"/>
    <w:rsid w:val="4BE76065"/>
    <w:rsid w:val="4BEA3BEA"/>
    <w:rsid w:val="4BEC4DB3"/>
    <w:rsid w:val="4BF149C3"/>
    <w:rsid w:val="4BF9780B"/>
    <w:rsid w:val="4BFA4125"/>
    <w:rsid w:val="4C020E7B"/>
    <w:rsid w:val="4C23448B"/>
    <w:rsid w:val="4C345224"/>
    <w:rsid w:val="4C4C2771"/>
    <w:rsid w:val="4C543B22"/>
    <w:rsid w:val="4C5566D7"/>
    <w:rsid w:val="4C644E8C"/>
    <w:rsid w:val="4C742D40"/>
    <w:rsid w:val="4C746C1E"/>
    <w:rsid w:val="4C7C48A7"/>
    <w:rsid w:val="4C7C506B"/>
    <w:rsid w:val="4CA87F80"/>
    <w:rsid w:val="4CBB0A14"/>
    <w:rsid w:val="4CC208D3"/>
    <w:rsid w:val="4CCB4740"/>
    <w:rsid w:val="4CCD1A64"/>
    <w:rsid w:val="4CD251A8"/>
    <w:rsid w:val="4CD52E3E"/>
    <w:rsid w:val="4CE57A8E"/>
    <w:rsid w:val="4CFB55CD"/>
    <w:rsid w:val="4D072D79"/>
    <w:rsid w:val="4D145D5B"/>
    <w:rsid w:val="4D17778C"/>
    <w:rsid w:val="4D281D25"/>
    <w:rsid w:val="4D2C015A"/>
    <w:rsid w:val="4D473BE7"/>
    <w:rsid w:val="4D5544C8"/>
    <w:rsid w:val="4D616AAD"/>
    <w:rsid w:val="4D692A8F"/>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96E2C"/>
    <w:rsid w:val="4E0B4471"/>
    <w:rsid w:val="4E131941"/>
    <w:rsid w:val="4E34712A"/>
    <w:rsid w:val="4E37534F"/>
    <w:rsid w:val="4E3A1C2D"/>
    <w:rsid w:val="4E3C38DB"/>
    <w:rsid w:val="4E463A07"/>
    <w:rsid w:val="4E4923F9"/>
    <w:rsid w:val="4E4F7006"/>
    <w:rsid w:val="4E567965"/>
    <w:rsid w:val="4E5858C8"/>
    <w:rsid w:val="4E5879FD"/>
    <w:rsid w:val="4E5B246B"/>
    <w:rsid w:val="4E6A6162"/>
    <w:rsid w:val="4E6A7AAB"/>
    <w:rsid w:val="4E6F7F3D"/>
    <w:rsid w:val="4E77126F"/>
    <w:rsid w:val="4E870CEC"/>
    <w:rsid w:val="4E932227"/>
    <w:rsid w:val="4E951779"/>
    <w:rsid w:val="4E9D5E6B"/>
    <w:rsid w:val="4EA310EA"/>
    <w:rsid w:val="4EAB5E7F"/>
    <w:rsid w:val="4EAB7B87"/>
    <w:rsid w:val="4EB27D68"/>
    <w:rsid w:val="4EB5456F"/>
    <w:rsid w:val="4EB94173"/>
    <w:rsid w:val="4ECA4D18"/>
    <w:rsid w:val="4ED34D61"/>
    <w:rsid w:val="4EDD4F23"/>
    <w:rsid w:val="4EDE2A17"/>
    <w:rsid w:val="4EDE412D"/>
    <w:rsid w:val="4EE44BE8"/>
    <w:rsid w:val="4EF82C0F"/>
    <w:rsid w:val="4F1705ED"/>
    <w:rsid w:val="4F1B405C"/>
    <w:rsid w:val="4F221450"/>
    <w:rsid w:val="4F2950ED"/>
    <w:rsid w:val="4F39547D"/>
    <w:rsid w:val="4F507DA5"/>
    <w:rsid w:val="4F5831BF"/>
    <w:rsid w:val="4F5E50E8"/>
    <w:rsid w:val="4F6065C7"/>
    <w:rsid w:val="4F67737B"/>
    <w:rsid w:val="4F766114"/>
    <w:rsid w:val="4F7C258C"/>
    <w:rsid w:val="4F944AF3"/>
    <w:rsid w:val="4F9B48E0"/>
    <w:rsid w:val="4FB547BF"/>
    <w:rsid w:val="4FD46E5C"/>
    <w:rsid w:val="4FD518A8"/>
    <w:rsid w:val="4FDA66A3"/>
    <w:rsid w:val="4FDA7262"/>
    <w:rsid w:val="4FF7433D"/>
    <w:rsid w:val="4FFB4A12"/>
    <w:rsid w:val="4FFB53F6"/>
    <w:rsid w:val="500B08C0"/>
    <w:rsid w:val="50136893"/>
    <w:rsid w:val="50187BDC"/>
    <w:rsid w:val="501A6B51"/>
    <w:rsid w:val="50271C76"/>
    <w:rsid w:val="503754C6"/>
    <w:rsid w:val="50403AD2"/>
    <w:rsid w:val="50435E55"/>
    <w:rsid w:val="50486282"/>
    <w:rsid w:val="50511B72"/>
    <w:rsid w:val="50693BBD"/>
    <w:rsid w:val="506B0124"/>
    <w:rsid w:val="506F18E4"/>
    <w:rsid w:val="50700EA1"/>
    <w:rsid w:val="50795EBC"/>
    <w:rsid w:val="508D1967"/>
    <w:rsid w:val="50AC504D"/>
    <w:rsid w:val="50B109AF"/>
    <w:rsid w:val="50B9275C"/>
    <w:rsid w:val="50B96C00"/>
    <w:rsid w:val="50C9265F"/>
    <w:rsid w:val="50C954CC"/>
    <w:rsid w:val="50CF5EBE"/>
    <w:rsid w:val="50D856A5"/>
    <w:rsid w:val="50E20B5E"/>
    <w:rsid w:val="5128530D"/>
    <w:rsid w:val="512C2F2E"/>
    <w:rsid w:val="513A20EB"/>
    <w:rsid w:val="51475B9B"/>
    <w:rsid w:val="514F764A"/>
    <w:rsid w:val="515446F4"/>
    <w:rsid w:val="515C44D2"/>
    <w:rsid w:val="51607C8A"/>
    <w:rsid w:val="51646F20"/>
    <w:rsid w:val="51694C80"/>
    <w:rsid w:val="5173358C"/>
    <w:rsid w:val="51776126"/>
    <w:rsid w:val="51837B55"/>
    <w:rsid w:val="51866838"/>
    <w:rsid w:val="518F457C"/>
    <w:rsid w:val="51917235"/>
    <w:rsid w:val="519E06BD"/>
    <w:rsid w:val="51A13D0B"/>
    <w:rsid w:val="51A94649"/>
    <w:rsid w:val="51AD7117"/>
    <w:rsid w:val="51B71FD1"/>
    <w:rsid w:val="51BA3A7E"/>
    <w:rsid w:val="51CD59F0"/>
    <w:rsid w:val="51D37172"/>
    <w:rsid w:val="51DA6316"/>
    <w:rsid w:val="51FE1BA6"/>
    <w:rsid w:val="51FF0643"/>
    <w:rsid w:val="52115C1C"/>
    <w:rsid w:val="521E385D"/>
    <w:rsid w:val="521F3230"/>
    <w:rsid w:val="522A6D57"/>
    <w:rsid w:val="522F077A"/>
    <w:rsid w:val="52306B3C"/>
    <w:rsid w:val="524E1C99"/>
    <w:rsid w:val="525700F4"/>
    <w:rsid w:val="525A5EFE"/>
    <w:rsid w:val="526724C9"/>
    <w:rsid w:val="52692625"/>
    <w:rsid w:val="527E1DD7"/>
    <w:rsid w:val="527F727E"/>
    <w:rsid w:val="52983A2D"/>
    <w:rsid w:val="52993E93"/>
    <w:rsid w:val="529E0439"/>
    <w:rsid w:val="52A37C17"/>
    <w:rsid w:val="52A802A4"/>
    <w:rsid w:val="52A835F0"/>
    <w:rsid w:val="52AB626E"/>
    <w:rsid w:val="52AC20F1"/>
    <w:rsid w:val="52BD4667"/>
    <w:rsid w:val="52C4650C"/>
    <w:rsid w:val="52C75BB0"/>
    <w:rsid w:val="52C9432D"/>
    <w:rsid w:val="52D16FF2"/>
    <w:rsid w:val="52DB5A3F"/>
    <w:rsid w:val="52DC0984"/>
    <w:rsid w:val="52E674BE"/>
    <w:rsid w:val="52EC48FA"/>
    <w:rsid w:val="53005A6E"/>
    <w:rsid w:val="53057EDB"/>
    <w:rsid w:val="530748DF"/>
    <w:rsid w:val="53204D14"/>
    <w:rsid w:val="53222E14"/>
    <w:rsid w:val="53300FB6"/>
    <w:rsid w:val="533019DA"/>
    <w:rsid w:val="53475D3A"/>
    <w:rsid w:val="53655A80"/>
    <w:rsid w:val="538B42DE"/>
    <w:rsid w:val="53993286"/>
    <w:rsid w:val="539E6AA6"/>
    <w:rsid w:val="53A60DD5"/>
    <w:rsid w:val="53A87967"/>
    <w:rsid w:val="53C22CCA"/>
    <w:rsid w:val="53C6271B"/>
    <w:rsid w:val="53CC5E1A"/>
    <w:rsid w:val="53D127E7"/>
    <w:rsid w:val="53DC7670"/>
    <w:rsid w:val="53E03B1E"/>
    <w:rsid w:val="53EC1861"/>
    <w:rsid w:val="53F76048"/>
    <w:rsid w:val="542F35D9"/>
    <w:rsid w:val="542F444C"/>
    <w:rsid w:val="5434239B"/>
    <w:rsid w:val="543643DA"/>
    <w:rsid w:val="543876E2"/>
    <w:rsid w:val="543A3C6A"/>
    <w:rsid w:val="543C7CB2"/>
    <w:rsid w:val="54576514"/>
    <w:rsid w:val="545F6B68"/>
    <w:rsid w:val="54703B76"/>
    <w:rsid w:val="548D7640"/>
    <w:rsid w:val="54AF37EA"/>
    <w:rsid w:val="54C0023A"/>
    <w:rsid w:val="54C16897"/>
    <w:rsid w:val="54CF1AAB"/>
    <w:rsid w:val="54ED448D"/>
    <w:rsid w:val="54F55A9E"/>
    <w:rsid w:val="55010C6B"/>
    <w:rsid w:val="55025A45"/>
    <w:rsid w:val="55092FAD"/>
    <w:rsid w:val="55194651"/>
    <w:rsid w:val="551E3960"/>
    <w:rsid w:val="5536081F"/>
    <w:rsid w:val="55375455"/>
    <w:rsid w:val="554C64B6"/>
    <w:rsid w:val="556154BA"/>
    <w:rsid w:val="5585712D"/>
    <w:rsid w:val="558D4110"/>
    <w:rsid w:val="559912AF"/>
    <w:rsid w:val="559961B4"/>
    <w:rsid w:val="55AA6225"/>
    <w:rsid w:val="55AE6718"/>
    <w:rsid w:val="55EC13BA"/>
    <w:rsid w:val="55F94F8E"/>
    <w:rsid w:val="56004989"/>
    <w:rsid w:val="56110C10"/>
    <w:rsid w:val="561428C1"/>
    <w:rsid w:val="56150EB3"/>
    <w:rsid w:val="561901FA"/>
    <w:rsid w:val="561E2D2C"/>
    <w:rsid w:val="561F3CB6"/>
    <w:rsid w:val="56233904"/>
    <w:rsid w:val="5635332D"/>
    <w:rsid w:val="565A22EB"/>
    <w:rsid w:val="5670160A"/>
    <w:rsid w:val="56796C5B"/>
    <w:rsid w:val="56803E23"/>
    <w:rsid w:val="56821842"/>
    <w:rsid w:val="56841C2E"/>
    <w:rsid w:val="568E1D15"/>
    <w:rsid w:val="56955916"/>
    <w:rsid w:val="56985C18"/>
    <w:rsid w:val="569A6E40"/>
    <w:rsid w:val="56AB0A15"/>
    <w:rsid w:val="56AE6EA8"/>
    <w:rsid w:val="56B83943"/>
    <w:rsid w:val="56BA113F"/>
    <w:rsid w:val="56C41882"/>
    <w:rsid w:val="56D54E6B"/>
    <w:rsid w:val="56DC53F6"/>
    <w:rsid w:val="56DD6FA5"/>
    <w:rsid w:val="56DF626B"/>
    <w:rsid w:val="56EC2D4F"/>
    <w:rsid w:val="56F444EE"/>
    <w:rsid w:val="56FB3FF9"/>
    <w:rsid w:val="56FD2198"/>
    <w:rsid w:val="57114899"/>
    <w:rsid w:val="57120E18"/>
    <w:rsid w:val="5718099E"/>
    <w:rsid w:val="571F4340"/>
    <w:rsid w:val="572409FC"/>
    <w:rsid w:val="572D3E71"/>
    <w:rsid w:val="57380C37"/>
    <w:rsid w:val="5739626B"/>
    <w:rsid w:val="574717EA"/>
    <w:rsid w:val="574E13AD"/>
    <w:rsid w:val="576F6C2C"/>
    <w:rsid w:val="577522C7"/>
    <w:rsid w:val="57805764"/>
    <w:rsid w:val="57861513"/>
    <w:rsid w:val="5789573D"/>
    <w:rsid w:val="578C704A"/>
    <w:rsid w:val="57981B34"/>
    <w:rsid w:val="579A1FB5"/>
    <w:rsid w:val="579B7EDC"/>
    <w:rsid w:val="57A13883"/>
    <w:rsid w:val="57A2525D"/>
    <w:rsid w:val="57B671D8"/>
    <w:rsid w:val="57BF3979"/>
    <w:rsid w:val="57DD1AD7"/>
    <w:rsid w:val="57E74CF7"/>
    <w:rsid w:val="57E825D4"/>
    <w:rsid w:val="57E94278"/>
    <w:rsid w:val="57ED39CE"/>
    <w:rsid w:val="57F413E2"/>
    <w:rsid w:val="57F70468"/>
    <w:rsid w:val="581329DA"/>
    <w:rsid w:val="581A50BC"/>
    <w:rsid w:val="581D1822"/>
    <w:rsid w:val="58230D38"/>
    <w:rsid w:val="58312587"/>
    <w:rsid w:val="5837317F"/>
    <w:rsid w:val="58385FF7"/>
    <w:rsid w:val="583B5B3E"/>
    <w:rsid w:val="583B6401"/>
    <w:rsid w:val="584157D2"/>
    <w:rsid w:val="584331DC"/>
    <w:rsid w:val="586036A7"/>
    <w:rsid w:val="586D0393"/>
    <w:rsid w:val="58735665"/>
    <w:rsid w:val="587F7ED1"/>
    <w:rsid w:val="58897F06"/>
    <w:rsid w:val="58982948"/>
    <w:rsid w:val="589D49D4"/>
    <w:rsid w:val="589D5EBC"/>
    <w:rsid w:val="58A219B7"/>
    <w:rsid w:val="58A2448A"/>
    <w:rsid w:val="58A45E46"/>
    <w:rsid w:val="58B8779D"/>
    <w:rsid w:val="58C06223"/>
    <w:rsid w:val="58C06677"/>
    <w:rsid w:val="58C17993"/>
    <w:rsid w:val="58DB506F"/>
    <w:rsid w:val="58E93DFA"/>
    <w:rsid w:val="59053C3E"/>
    <w:rsid w:val="590E7B63"/>
    <w:rsid w:val="5911704A"/>
    <w:rsid w:val="591E31B2"/>
    <w:rsid w:val="593239B2"/>
    <w:rsid w:val="593D52A0"/>
    <w:rsid w:val="594279D7"/>
    <w:rsid w:val="59434133"/>
    <w:rsid w:val="5958106F"/>
    <w:rsid w:val="59796DE8"/>
    <w:rsid w:val="599A30CF"/>
    <w:rsid w:val="59A93A45"/>
    <w:rsid w:val="59AE331A"/>
    <w:rsid w:val="59B1531E"/>
    <w:rsid w:val="59B31432"/>
    <w:rsid w:val="59B33F7E"/>
    <w:rsid w:val="59B86BB4"/>
    <w:rsid w:val="59BC5BAA"/>
    <w:rsid w:val="59C52172"/>
    <w:rsid w:val="59DC530F"/>
    <w:rsid w:val="59DD0BC9"/>
    <w:rsid w:val="59DE647C"/>
    <w:rsid w:val="59E051FD"/>
    <w:rsid w:val="59EC3697"/>
    <w:rsid w:val="59EE732A"/>
    <w:rsid w:val="59F15B06"/>
    <w:rsid w:val="59F24F64"/>
    <w:rsid w:val="59F667CF"/>
    <w:rsid w:val="59F83A7F"/>
    <w:rsid w:val="5A063D38"/>
    <w:rsid w:val="5A0A04CC"/>
    <w:rsid w:val="5A142786"/>
    <w:rsid w:val="5A2B00AB"/>
    <w:rsid w:val="5A3A281E"/>
    <w:rsid w:val="5A3C6AE3"/>
    <w:rsid w:val="5A4C6AB4"/>
    <w:rsid w:val="5A4C6EDF"/>
    <w:rsid w:val="5A517945"/>
    <w:rsid w:val="5A60354C"/>
    <w:rsid w:val="5A684474"/>
    <w:rsid w:val="5A6951F3"/>
    <w:rsid w:val="5A807B8B"/>
    <w:rsid w:val="5A8B483A"/>
    <w:rsid w:val="5A9B3CFD"/>
    <w:rsid w:val="5AAD0BDB"/>
    <w:rsid w:val="5AB10E32"/>
    <w:rsid w:val="5AC44599"/>
    <w:rsid w:val="5ADF07E8"/>
    <w:rsid w:val="5AE979C9"/>
    <w:rsid w:val="5AEC6396"/>
    <w:rsid w:val="5B07328E"/>
    <w:rsid w:val="5B376556"/>
    <w:rsid w:val="5B393C4D"/>
    <w:rsid w:val="5B4165B4"/>
    <w:rsid w:val="5B4517BC"/>
    <w:rsid w:val="5B451EA5"/>
    <w:rsid w:val="5B5F159B"/>
    <w:rsid w:val="5B750D47"/>
    <w:rsid w:val="5B7610DF"/>
    <w:rsid w:val="5B7B1DBC"/>
    <w:rsid w:val="5B820CEA"/>
    <w:rsid w:val="5B830C39"/>
    <w:rsid w:val="5B9A7652"/>
    <w:rsid w:val="5BC815A9"/>
    <w:rsid w:val="5BDF10EC"/>
    <w:rsid w:val="5BE11AD0"/>
    <w:rsid w:val="5BF65E4A"/>
    <w:rsid w:val="5BFC5DEF"/>
    <w:rsid w:val="5C031C08"/>
    <w:rsid w:val="5C073493"/>
    <w:rsid w:val="5C08313A"/>
    <w:rsid w:val="5C124740"/>
    <w:rsid w:val="5C167CAD"/>
    <w:rsid w:val="5C271679"/>
    <w:rsid w:val="5C277A24"/>
    <w:rsid w:val="5C284D5E"/>
    <w:rsid w:val="5C2C3EF8"/>
    <w:rsid w:val="5C2F6D78"/>
    <w:rsid w:val="5C3071E6"/>
    <w:rsid w:val="5C4707B9"/>
    <w:rsid w:val="5C526139"/>
    <w:rsid w:val="5C5675E5"/>
    <w:rsid w:val="5C5F5E7F"/>
    <w:rsid w:val="5C642116"/>
    <w:rsid w:val="5C646B0E"/>
    <w:rsid w:val="5C65426F"/>
    <w:rsid w:val="5C731A7F"/>
    <w:rsid w:val="5C7569AD"/>
    <w:rsid w:val="5C9D354B"/>
    <w:rsid w:val="5CAF2C03"/>
    <w:rsid w:val="5CD062DF"/>
    <w:rsid w:val="5CD27D37"/>
    <w:rsid w:val="5CD36B2E"/>
    <w:rsid w:val="5CD4779E"/>
    <w:rsid w:val="5CD677DA"/>
    <w:rsid w:val="5CD821BC"/>
    <w:rsid w:val="5CDE27BC"/>
    <w:rsid w:val="5CE77BCF"/>
    <w:rsid w:val="5D137532"/>
    <w:rsid w:val="5D157C88"/>
    <w:rsid w:val="5D175604"/>
    <w:rsid w:val="5D1E0ED1"/>
    <w:rsid w:val="5D374EE4"/>
    <w:rsid w:val="5D496913"/>
    <w:rsid w:val="5D573B55"/>
    <w:rsid w:val="5D604E1A"/>
    <w:rsid w:val="5D613ECE"/>
    <w:rsid w:val="5D6A6E55"/>
    <w:rsid w:val="5D6E48CE"/>
    <w:rsid w:val="5D76283E"/>
    <w:rsid w:val="5D77279F"/>
    <w:rsid w:val="5D8306C9"/>
    <w:rsid w:val="5D842A1D"/>
    <w:rsid w:val="5DB20FCB"/>
    <w:rsid w:val="5DB46785"/>
    <w:rsid w:val="5DB70023"/>
    <w:rsid w:val="5DDD7E94"/>
    <w:rsid w:val="5DE51229"/>
    <w:rsid w:val="5DF31E43"/>
    <w:rsid w:val="5DFE1897"/>
    <w:rsid w:val="5E021953"/>
    <w:rsid w:val="5E036527"/>
    <w:rsid w:val="5E04757B"/>
    <w:rsid w:val="5E087B7C"/>
    <w:rsid w:val="5E0E54E0"/>
    <w:rsid w:val="5E207E63"/>
    <w:rsid w:val="5E225DE5"/>
    <w:rsid w:val="5E4565B9"/>
    <w:rsid w:val="5E4B0A93"/>
    <w:rsid w:val="5E7E1766"/>
    <w:rsid w:val="5E8F38D1"/>
    <w:rsid w:val="5E9255CA"/>
    <w:rsid w:val="5E927AEF"/>
    <w:rsid w:val="5EB37363"/>
    <w:rsid w:val="5EB91C0B"/>
    <w:rsid w:val="5EBA5D65"/>
    <w:rsid w:val="5EBF4211"/>
    <w:rsid w:val="5EC4031F"/>
    <w:rsid w:val="5EC6445F"/>
    <w:rsid w:val="5ED50336"/>
    <w:rsid w:val="5ED65319"/>
    <w:rsid w:val="5EEB5E61"/>
    <w:rsid w:val="5EF1586C"/>
    <w:rsid w:val="5F2141F8"/>
    <w:rsid w:val="5F46047A"/>
    <w:rsid w:val="5F4A68D0"/>
    <w:rsid w:val="5F664499"/>
    <w:rsid w:val="5F7A0801"/>
    <w:rsid w:val="5F843E24"/>
    <w:rsid w:val="5F8D62F8"/>
    <w:rsid w:val="5FA23D09"/>
    <w:rsid w:val="5FA32278"/>
    <w:rsid w:val="5FAF7865"/>
    <w:rsid w:val="5FB5B2C3"/>
    <w:rsid w:val="5FB73F3B"/>
    <w:rsid w:val="5FC67588"/>
    <w:rsid w:val="5FD046CB"/>
    <w:rsid w:val="5FE73D0E"/>
    <w:rsid w:val="60067040"/>
    <w:rsid w:val="6008140F"/>
    <w:rsid w:val="60086F0A"/>
    <w:rsid w:val="601B4A47"/>
    <w:rsid w:val="60217A1A"/>
    <w:rsid w:val="603C0CB4"/>
    <w:rsid w:val="604270E5"/>
    <w:rsid w:val="604D05E2"/>
    <w:rsid w:val="60592246"/>
    <w:rsid w:val="605B2155"/>
    <w:rsid w:val="605E5EB2"/>
    <w:rsid w:val="605F20D7"/>
    <w:rsid w:val="60646418"/>
    <w:rsid w:val="60691264"/>
    <w:rsid w:val="606D52A1"/>
    <w:rsid w:val="60733DFE"/>
    <w:rsid w:val="60761A02"/>
    <w:rsid w:val="607704D1"/>
    <w:rsid w:val="60815C20"/>
    <w:rsid w:val="608D24C2"/>
    <w:rsid w:val="6098238E"/>
    <w:rsid w:val="609A3072"/>
    <w:rsid w:val="609E62ED"/>
    <w:rsid w:val="60A76608"/>
    <w:rsid w:val="60A80CA6"/>
    <w:rsid w:val="60B26B24"/>
    <w:rsid w:val="60B322B3"/>
    <w:rsid w:val="60BF1DF9"/>
    <w:rsid w:val="60D44C9B"/>
    <w:rsid w:val="60EE0218"/>
    <w:rsid w:val="60FA4B1B"/>
    <w:rsid w:val="60FE7FA1"/>
    <w:rsid w:val="610544EA"/>
    <w:rsid w:val="61091E5D"/>
    <w:rsid w:val="610A7CB7"/>
    <w:rsid w:val="611F56E1"/>
    <w:rsid w:val="61350A6B"/>
    <w:rsid w:val="61353591"/>
    <w:rsid w:val="614B40F4"/>
    <w:rsid w:val="61523B3C"/>
    <w:rsid w:val="6160227E"/>
    <w:rsid w:val="6162303C"/>
    <w:rsid w:val="616E53C9"/>
    <w:rsid w:val="616F678F"/>
    <w:rsid w:val="61775741"/>
    <w:rsid w:val="618C32E6"/>
    <w:rsid w:val="61942B31"/>
    <w:rsid w:val="61B17E42"/>
    <w:rsid w:val="61BB3420"/>
    <w:rsid w:val="61D17319"/>
    <w:rsid w:val="61D81473"/>
    <w:rsid w:val="61F50A5F"/>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875AAB"/>
    <w:rsid w:val="62BC0D55"/>
    <w:rsid w:val="62BC6E3C"/>
    <w:rsid w:val="62E0150F"/>
    <w:rsid w:val="62E02F60"/>
    <w:rsid w:val="62F14861"/>
    <w:rsid w:val="62F526E7"/>
    <w:rsid w:val="63106D5B"/>
    <w:rsid w:val="6332766D"/>
    <w:rsid w:val="63396158"/>
    <w:rsid w:val="633C5B98"/>
    <w:rsid w:val="63430D2A"/>
    <w:rsid w:val="63473BF7"/>
    <w:rsid w:val="634D61C9"/>
    <w:rsid w:val="635272F9"/>
    <w:rsid w:val="635C4C57"/>
    <w:rsid w:val="635C750D"/>
    <w:rsid w:val="63674CA4"/>
    <w:rsid w:val="6386400D"/>
    <w:rsid w:val="63A177AC"/>
    <w:rsid w:val="63A54F06"/>
    <w:rsid w:val="63A64DC2"/>
    <w:rsid w:val="63AD6951"/>
    <w:rsid w:val="63AF0C1D"/>
    <w:rsid w:val="63B16962"/>
    <w:rsid w:val="63BA2EDA"/>
    <w:rsid w:val="63C9624A"/>
    <w:rsid w:val="63CC601E"/>
    <w:rsid w:val="63D719DB"/>
    <w:rsid w:val="63ED4724"/>
    <w:rsid w:val="63F80D94"/>
    <w:rsid w:val="63FF6FFC"/>
    <w:rsid w:val="64001A81"/>
    <w:rsid w:val="64026854"/>
    <w:rsid w:val="642411E7"/>
    <w:rsid w:val="643D2B73"/>
    <w:rsid w:val="644857E1"/>
    <w:rsid w:val="644A226C"/>
    <w:rsid w:val="64522AC7"/>
    <w:rsid w:val="64525187"/>
    <w:rsid w:val="64553A5C"/>
    <w:rsid w:val="6456360A"/>
    <w:rsid w:val="6462771D"/>
    <w:rsid w:val="64713622"/>
    <w:rsid w:val="64750A67"/>
    <w:rsid w:val="648539A0"/>
    <w:rsid w:val="648F4603"/>
    <w:rsid w:val="64940BBC"/>
    <w:rsid w:val="649D58E8"/>
    <w:rsid w:val="649D6000"/>
    <w:rsid w:val="64A22D34"/>
    <w:rsid w:val="64B2181C"/>
    <w:rsid w:val="64BD6D1E"/>
    <w:rsid w:val="64CA3146"/>
    <w:rsid w:val="64CF2FBB"/>
    <w:rsid w:val="64D076D0"/>
    <w:rsid w:val="64D25ADC"/>
    <w:rsid w:val="64D8700C"/>
    <w:rsid w:val="64DA642E"/>
    <w:rsid w:val="64FB1BDE"/>
    <w:rsid w:val="650B1C07"/>
    <w:rsid w:val="651A5F91"/>
    <w:rsid w:val="65251E4A"/>
    <w:rsid w:val="652C5EB4"/>
    <w:rsid w:val="654B2836"/>
    <w:rsid w:val="65526E69"/>
    <w:rsid w:val="6556509D"/>
    <w:rsid w:val="655F791E"/>
    <w:rsid w:val="65680726"/>
    <w:rsid w:val="657F58CB"/>
    <w:rsid w:val="658159DC"/>
    <w:rsid w:val="65830371"/>
    <w:rsid w:val="65A76DE5"/>
    <w:rsid w:val="65BA079C"/>
    <w:rsid w:val="65DA2049"/>
    <w:rsid w:val="65E17BA8"/>
    <w:rsid w:val="65EE47FE"/>
    <w:rsid w:val="65FA1534"/>
    <w:rsid w:val="65FA5D55"/>
    <w:rsid w:val="66020B60"/>
    <w:rsid w:val="660255FB"/>
    <w:rsid w:val="66123D10"/>
    <w:rsid w:val="66133DAB"/>
    <w:rsid w:val="661A16F1"/>
    <w:rsid w:val="661C75BD"/>
    <w:rsid w:val="663D1055"/>
    <w:rsid w:val="664541E6"/>
    <w:rsid w:val="66474970"/>
    <w:rsid w:val="6648514C"/>
    <w:rsid w:val="664B39FF"/>
    <w:rsid w:val="66542240"/>
    <w:rsid w:val="6663790C"/>
    <w:rsid w:val="66734E89"/>
    <w:rsid w:val="66747232"/>
    <w:rsid w:val="667D15A4"/>
    <w:rsid w:val="667D7BC5"/>
    <w:rsid w:val="668215CB"/>
    <w:rsid w:val="66837765"/>
    <w:rsid w:val="668533B4"/>
    <w:rsid w:val="668E2F51"/>
    <w:rsid w:val="669518A0"/>
    <w:rsid w:val="669902AD"/>
    <w:rsid w:val="66A129BA"/>
    <w:rsid w:val="66A80E51"/>
    <w:rsid w:val="66A93610"/>
    <w:rsid w:val="66AB587F"/>
    <w:rsid w:val="66B671D8"/>
    <w:rsid w:val="66D95276"/>
    <w:rsid w:val="66DA1819"/>
    <w:rsid w:val="66DC6F2C"/>
    <w:rsid w:val="66E016CA"/>
    <w:rsid w:val="66E83E34"/>
    <w:rsid w:val="66EF52A5"/>
    <w:rsid w:val="66F30D69"/>
    <w:rsid w:val="66FC72F7"/>
    <w:rsid w:val="670B0931"/>
    <w:rsid w:val="67120309"/>
    <w:rsid w:val="67443AE9"/>
    <w:rsid w:val="67572F8F"/>
    <w:rsid w:val="675D5151"/>
    <w:rsid w:val="675E333F"/>
    <w:rsid w:val="67693754"/>
    <w:rsid w:val="6775322B"/>
    <w:rsid w:val="67893596"/>
    <w:rsid w:val="678A0557"/>
    <w:rsid w:val="67A42E46"/>
    <w:rsid w:val="67BA708E"/>
    <w:rsid w:val="67BF023C"/>
    <w:rsid w:val="67CE55FF"/>
    <w:rsid w:val="67D5557E"/>
    <w:rsid w:val="67E0047E"/>
    <w:rsid w:val="67F6293B"/>
    <w:rsid w:val="67FA187D"/>
    <w:rsid w:val="68142795"/>
    <w:rsid w:val="681F3395"/>
    <w:rsid w:val="68336430"/>
    <w:rsid w:val="684F4B81"/>
    <w:rsid w:val="685149A2"/>
    <w:rsid w:val="68571975"/>
    <w:rsid w:val="685A79FC"/>
    <w:rsid w:val="68611261"/>
    <w:rsid w:val="686A5EB8"/>
    <w:rsid w:val="686C43C0"/>
    <w:rsid w:val="68815DFE"/>
    <w:rsid w:val="688E4077"/>
    <w:rsid w:val="688F672B"/>
    <w:rsid w:val="688F6F87"/>
    <w:rsid w:val="68A17AAF"/>
    <w:rsid w:val="68B027B4"/>
    <w:rsid w:val="68DA74AF"/>
    <w:rsid w:val="68E05863"/>
    <w:rsid w:val="68EE64F5"/>
    <w:rsid w:val="69030B1E"/>
    <w:rsid w:val="69085C0C"/>
    <w:rsid w:val="691378B0"/>
    <w:rsid w:val="6920283B"/>
    <w:rsid w:val="69393867"/>
    <w:rsid w:val="693B41FE"/>
    <w:rsid w:val="6941314D"/>
    <w:rsid w:val="69521130"/>
    <w:rsid w:val="69580133"/>
    <w:rsid w:val="69586E43"/>
    <w:rsid w:val="69662AFA"/>
    <w:rsid w:val="69672C6C"/>
    <w:rsid w:val="696A29B9"/>
    <w:rsid w:val="69770527"/>
    <w:rsid w:val="698222FD"/>
    <w:rsid w:val="6985069B"/>
    <w:rsid w:val="69937B96"/>
    <w:rsid w:val="69AD5538"/>
    <w:rsid w:val="69BA1C87"/>
    <w:rsid w:val="69E274C8"/>
    <w:rsid w:val="69E928CE"/>
    <w:rsid w:val="69ED5045"/>
    <w:rsid w:val="69F4010D"/>
    <w:rsid w:val="69F70652"/>
    <w:rsid w:val="6A065174"/>
    <w:rsid w:val="6A1073EC"/>
    <w:rsid w:val="6A1935F8"/>
    <w:rsid w:val="6A2004CE"/>
    <w:rsid w:val="6A2F6254"/>
    <w:rsid w:val="6A35394F"/>
    <w:rsid w:val="6A413EE6"/>
    <w:rsid w:val="6A4A02DE"/>
    <w:rsid w:val="6A4C4802"/>
    <w:rsid w:val="6A5779AC"/>
    <w:rsid w:val="6A674B7F"/>
    <w:rsid w:val="6A6A1708"/>
    <w:rsid w:val="6A6C42F6"/>
    <w:rsid w:val="6A7513A2"/>
    <w:rsid w:val="6A86465B"/>
    <w:rsid w:val="6A8C267C"/>
    <w:rsid w:val="6A9F0C6C"/>
    <w:rsid w:val="6AA103AC"/>
    <w:rsid w:val="6AA84B5B"/>
    <w:rsid w:val="6AAB3624"/>
    <w:rsid w:val="6AC75641"/>
    <w:rsid w:val="6ACE7ECF"/>
    <w:rsid w:val="6AD55603"/>
    <w:rsid w:val="6ADB14A0"/>
    <w:rsid w:val="6AE22AC5"/>
    <w:rsid w:val="6AE44653"/>
    <w:rsid w:val="6AF42BA2"/>
    <w:rsid w:val="6B047FBB"/>
    <w:rsid w:val="6B066BC6"/>
    <w:rsid w:val="6B1430EB"/>
    <w:rsid w:val="6B184B73"/>
    <w:rsid w:val="6B1B3BDE"/>
    <w:rsid w:val="6B2040B3"/>
    <w:rsid w:val="6B256F14"/>
    <w:rsid w:val="6B3B19FE"/>
    <w:rsid w:val="6B3E0DFA"/>
    <w:rsid w:val="6B410AE7"/>
    <w:rsid w:val="6B453FFA"/>
    <w:rsid w:val="6B575B75"/>
    <w:rsid w:val="6B650DA6"/>
    <w:rsid w:val="6B674FF6"/>
    <w:rsid w:val="6B74202F"/>
    <w:rsid w:val="6B81450D"/>
    <w:rsid w:val="6B8558F1"/>
    <w:rsid w:val="6B9416DB"/>
    <w:rsid w:val="6B9568EC"/>
    <w:rsid w:val="6BC71567"/>
    <w:rsid w:val="6BCB1C20"/>
    <w:rsid w:val="6BD10E4A"/>
    <w:rsid w:val="6BD22BED"/>
    <w:rsid w:val="6BD9765A"/>
    <w:rsid w:val="6BDB5825"/>
    <w:rsid w:val="6BDE039E"/>
    <w:rsid w:val="6BE45057"/>
    <w:rsid w:val="6BF07522"/>
    <w:rsid w:val="6BF62C43"/>
    <w:rsid w:val="6BFB724A"/>
    <w:rsid w:val="6BFD1C3F"/>
    <w:rsid w:val="6C053E4A"/>
    <w:rsid w:val="6C056342"/>
    <w:rsid w:val="6C1F12F7"/>
    <w:rsid w:val="6C2235BB"/>
    <w:rsid w:val="6C225202"/>
    <w:rsid w:val="6C2358F3"/>
    <w:rsid w:val="6C285F16"/>
    <w:rsid w:val="6C2B087F"/>
    <w:rsid w:val="6C3D08E7"/>
    <w:rsid w:val="6C457A5B"/>
    <w:rsid w:val="6C477DAC"/>
    <w:rsid w:val="6C5A499B"/>
    <w:rsid w:val="6C6E5018"/>
    <w:rsid w:val="6C743C3C"/>
    <w:rsid w:val="6C781324"/>
    <w:rsid w:val="6C787634"/>
    <w:rsid w:val="6C7D28E1"/>
    <w:rsid w:val="6C982A1B"/>
    <w:rsid w:val="6CA83A9D"/>
    <w:rsid w:val="6CAE0FC7"/>
    <w:rsid w:val="6CB60E58"/>
    <w:rsid w:val="6CB90ABC"/>
    <w:rsid w:val="6CC17C43"/>
    <w:rsid w:val="6CCC1D14"/>
    <w:rsid w:val="6CE1750C"/>
    <w:rsid w:val="6CE32FE9"/>
    <w:rsid w:val="6CF50CAC"/>
    <w:rsid w:val="6CFA47C3"/>
    <w:rsid w:val="6D013069"/>
    <w:rsid w:val="6D0A4253"/>
    <w:rsid w:val="6D17288C"/>
    <w:rsid w:val="6D234F26"/>
    <w:rsid w:val="6D282CEC"/>
    <w:rsid w:val="6D41740F"/>
    <w:rsid w:val="6D471E32"/>
    <w:rsid w:val="6D543AE1"/>
    <w:rsid w:val="6D586C1C"/>
    <w:rsid w:val="6D5F1476"/>
    <w:rsid w:val="6D6131F6"/>
    <w:rsid w:val="6D6362FF"/>
    <w:rsid w:val="6D6908C9"/>
    <w:rsid w:val="6D7A46AA"/>
    <w:rsid w:val="6D891B50"/>
    <w:rsid w:val="6D897E65"/>
    <w:rsid w:val="6D943EDD"/>
    <w:rsid w:val="6DA0720B"/>
    <w:rsid w:val="6DBA383E"/>
    <w:rsid w:val="6DBC4E4A"/>
    <w:rsid w:val="6DCF2747"/>
    <w:rsid w:val="6DE26E66"/>
    <w:rsid w:val="6DF4133C"/>
    <w:rsid w:val="6DFE0A46"/>
    <w:rsid w:val="6E046D6A"/>
    <w:rsid w:val="6E0A4EE7"/>
    <w:rsid w:val="6E1D1B14"/>
    <w:rsid w:val="6E1D77C2"/>
    <w:rsid w:val="6E1D7D06"/>
    <w:rsid w:val="6E275A60"/>
    <w:rsid w:val="6E2D6A2F"/>
    <w:rsid w:val="6E392AF4"/>
    <w:rsid w:val="6E4B7BC4"/>
    <w:rsid w:val="6E6267FC"/>
    <w:rsid w:val="6E641481"/>
    <w:rsid w:val="6E816EBD"/>
    <w:rsid w:val="6E892BF0"/>
    <w:rsid w:val="6E8B2C58"/>
    <w:rsid w:val="6E8E6B7E"/>
    <w:rsid w:val="6E922738"/>
    <w:rsid w:val="6E931C3F"/>
    <w:rsid w:val="6EB0012B"/>
    <w:rsid w:val="6EB849F5"/>
    <w:rsid w:val="6EC32CCC"/>
    <w:rsid w:val="6EE669BA"/>
    <w:rsid w:val="6EF93A79"/>
    <w:rsid w:val="6F017A68"/>
    <w:rsid w:val="6F074C7D"/>
    <w:rsid w:val="6F095F3A"/>
    <w:rsid w:val="6F0B3914"/>
    <w:rsid w:val="6F1A6726"/>
    <w:rsid w:val="6F282B2F"/>
    <w:rsid w:val="6F321C00"/>
    <w:rsid w:val="6F35524C"/>
    <w:rsid w:val="6F3732CE"/>
    <w:rsid w:val="6F4266DF"/>
    <w:rsid w:val="6F5B73A8"/>
    <w:rsid w:val="6F653D83"/>
    <w:rsid w:val="6F773AB6"/>
    <w:rsid w:val="6F881695"/>
    <w:rsid w:val="6F887515"/>
    <w:rsid w:val="6F8C16B9"/>
    <w:rsid w:val="6F92194C"/>
    <w:rsid w:val="6F997777"/>
    <w:rsid w:val="6FAC2382"/>
    <w:rsid w:val="6FC13DD2"/>
    <w:rsid w:val="6FCD418C"/>
    <w:rsid w:val="6FE83720"/>
    <w:rsid w:val="6FEF7197"/>
    <w:rsid w:val="6FEF7D8A"/>
    <w:rsid w:val="6FFD2BE7"/>
    <w:rsid w:val="70006A1E"/>
    <w:rsid w:val="70050220"/>
    <w:rsid w:val="70076EA8"/>
    <w:rsid w:val="702C5E4F"/>
    <w:rsid w:val="703062FD"/>
    <w:rsid w:val="703A2C04"/>
    <w:rsid w:val="70422316"/>
    <w:rsid w:val="70486DDE"/>
    <w:rsid w:val="704E70A7"/>
    <w:rsid w:val="70556940"/>
    <w:rsid w:val="7056218C"/>
    <w:rsid w:val="705975BD"/>
    <w:rsid w:val="70677361"/>
    <w:rsid w:val="706A0FD7"/>
    <w:rsid w:val="70762356"/>
    <w:rsid w:val="70827379"/>
    <w:rsid w:val="70846B10"/>
    <w:rsid w:val="708F5CC6"/>
    <w:rsid w:val="70A51E7A"/>
    <w:rsid w:val="70A94695"/>
    <w:rsid w:val="70AE1665"/>
    <w:rsid w:val="70C64C13"/>
    <w:rsid w:val="70CE2A7D"/>
    <w:rsid w:val="70D311C0"/>
    <w:rsid w:val="70F57258"/>
    <w:rsid w:val="71033854"/>
    <w:rsid w:val="710D2536"/>
    <w:rsid w:val="710D3A95"/>
    <w:rsid w:val="7123116D"/>
    <w:rsid w:val="712626A7"/>
    <w:rsid w:val="71295015"/>
    <w:rsid w:val="712F4753"/>
    <w:rsid w:val="712F4EC4"/>
    <w:rsid w:val="71405C9D"/>
    <w:rsid w:val="71605930"/>
    <w:rsid w:val="716A0E09"/>
    <w:rsid w:val="717402AD"/>
    <w:rsid w:val="717F25F9"/>
    <w:rsid w:val="71861D20"/>
    <w:rsid w:val="7186437F"/>
    <w:rsid w:val="71A45894"/>
    <w:rsid w:val="71BA0287"/>
    <w:rsid w:val="71BE7BEA"/>
    <w:rsid w:val="71C933A1"/>
    <w:rsid w:val="71D64AC4"/>
    <w:rsid w:val="71DF2A49"/>
    <w:rsid w:val="71E96735"/>
    <w:rsid w:val="71EE2413"/>
    <w:rsid w:val="720000E6"/>
    <w:rsid w:val="72034464"/>
    <w:rsid w:val="720C50DD"/>
    <w:rsid w:val="723D68C6"/>
    <w:rsid w:val="723E1C92"/>
    <w:rsid w:val="72493B52"/>
    <w:rsid w:val="726A35DE"/>
    <w:rsid w:val="726C29D6"/>
    <w:rsid w:val="72812BB6"/>
    <w:rsid w:val="72823CD6"/>
    <w:rsid w:val="728A58AF"/>
    <w:rsid w:val="72934FF3"/>
    <w:rsid w:val="72992DCB"/>
    <w:rsid w:val="729C0A73"/>
    <w:rsid w:val="72A10AC9"/>
    <w:rsid w:val="72B01AB7"/>
    <w:rsid w:val="72BD7A32"/>
    <w:rsid w:val="72BE0926"/>
    <w:rsid w:val="72C405CA"/>
    <w:rsid w:val="72C46B36"/>
    <w:rsid w:val="72D92A8D"/>
    <w:rsid w:val="72E03CB4"/>
    <w:rsid w:val="72E10B87"/>
    <w:rsid w:val="72E17BC5"/>
    <w:rsid w:val="72E74124"/>
    <w:rsid w:val="72E96A79"/>
    <w:rsid w:val="72FB055A"/>
    <w:rsid w:val="72FE1676"/>
    <w:rsid w:val="72FF7DFC"/>
    <w:rsid w:val="73095A3C"/>
    <w:rsid w:val="730A4D01"/>
    <w:rsid w:val="731A788A"/>
    <w:rsid w:val="731D44F3"/>
    <w:rsid w:val="731D49AA"/>
    <w:rsid w:val="731E1436"/>
    <w:rsid w:val="73214234"/>
    <w:rsid w:val="73283E0D"/>
    <w:rsid w:val="732E26DE"/>
    <w:rsid w:val="7332362C"/>
    <w:rsid w:val="7334325D"/>
    <w:rsid w:val="73350C5E"/>
    <w:rsid w:val="734F0FD2"/>
    <w:rsid w:val="73513CCA"/>
    <w:rsid w:val="73574EBF"/>
    <w:rsid w:val="73581579"/>
    <w:rsid w:val="735A1D60"/>
    <w:rsid w:val="735C724B"/>
    <w:rsid w:val="736A2E27"/>
    <w:rsid w:val="73743E64"/>
    <w:rsid w:val="73922C6D"/>
    <w:rsid w:val="739D2CEC"/>
    <w:rsid w:val="739E1612"/>
    <w:rsid w:val="73A21C06"/>
    <w:rsid w:val="73AA4C42"/>
    <w:rsid w:val="73B20E59"/>
    <w:rsid w:val="73B60A10"/>
    <w:rsid w:val="73C05B2F"/>
    <w:rsid w:val="73CA2AC9"/>
    <w:rsid w:val="73CA68AB"/>
    <w:rsid w:val="73CC5B9E"/>
    <w:rsid w:val="73DE05EE"/>
    <w:rsid w:val="74011DAF"/>
    <w:rsid w:val="741E2752"/>
    <w:rsid w:val="74251284"/>
    <w:rsid w:val="74355159"/>
    <w:rsid w:val="743B31CD"/>
    <w:rsid w:val="743F3479"/>
    <w:rsid w:val="745049B3"/>
    <w:rsid w:val="74621C01"/>
    <w:rsid w:val="74661EF8"/>
    <w:rsid w:val="746F5A57"/>
    <w:rsid w:val="7476433D"/>
    <w:rsid w:val="74795BDB"/>
    <w:rsid w:val="747A3B5C"/>
    <w:rsid w:val="747A67B7"/>
    <w:rsid w:val="747C0EC2"/>
    <w:rsid w:val="74941B1E"/>
    <w:rsid w:val="74982BC3"/>
    <w:rsid w:val="74A027D8"/>
    <w:rsid w:val="74A369C6"/>
    <w:rsid w:val="74D75E35"/>
    <w:rsid w:val="751050E9"/>
    <w:rsid w:val="75130B97"/>
    <w:rsid w:val="75202B2C"/>
    <w:rsid w:val="75391372"/>
    <w:rsid w:val="753929D7"/>
    <w:rsid w:val="753F5399"/>
    <w:rsid w:val="754247CE"/>
    <w:rsid w:val="755D4111"/>
    <w:rsid w:val="75653527"/>
    <w:rsid w:val="75687183"/>
    <w:rsid w:val="756E4E38"/>
    <w:rsid w:val="757C644D"/>
    <w:rsid w:val="757F5E29"/>
    <w:rsid w:val="75A97B92"/>
    <w:rsid w:val="75AC0C8E"/>
    <w:rsid w:val="75BE2C13"/>
    <w:rsid w:val="75C867D8"/>
    <w:rsid w:val="75C91681"/>
    <w:rsid w:val="75CC1F36"/>
    <w:rsid w:val="75E1159B"/>
    <w:rsid w:val="75E834FA"/>
    <w:rsid w:val="75F52AFB"/>
    <w:rsid w:val="760756D8"/>
    <w:rsid w:val="760E676A"/>
    <w:rsid w:val="76140FF1"/>
    <w:rsid w:val="76226E1B"/>
    <w:rsid w:val="7624764F"/>
    <w:rsid w:val="76277F2F"/>
    <w:rsid w:val="762C0888"/>
    <w:rsid w:val="762F6D25"/>
    <w:rsid w:val="763E0E8A"/>
    <w:rsid w:val="764A3CD3"/>
    <w:rsid w:val="7653662C"/>
    <w:rsid w:val="765C3FDB"/>
    <w:rsid w:val="76672689"/>
    <w:rsid w:val="766E5C13"/>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7F7F"/>
    <w:rsid w:val="77120494"/>
    <w:rsid w:val="771542E1"/>
    <w:rsid w:val="772A380A"/>
    <w:rsid w:val="772B6736"/>
    <w:rsid w:val="775A0E70"/>
    <w:rsid w:val="775B2B18"/>
    <w:rsid w:val="775D6AA2"/>
    <w:rsid w:val="77601172"/>
    <w:rsid w:val="77603D4F"/>
    <w:rsid w:val="776142C0"/>
    <w:rsid w:val="77635826"/>
    <w:rsid w:val="777032C5"/>
    <w:rsid w:val="77820948"/>
    <w:rsid w:val="77897FBF"/>
    <w:rsid w:val="778E3455"/>
    <w:rsid w:val="778F5D5D"/>
    <w:rsid w:val="7794100B"/>
    <w:rsid w:val="779F63A2"/>
    <w:rsid w:val="77AB6538"/>
    <w:rsid w:val="77B24F19"/>
    <w:rsid w:val="77B70EF4"/>
    <w:rsid w:val="77BF2F35"/>
    <w:rsid w:val="77BF46A4"/>
    <w:rsid w:val="77E75E53"/>
    <w:rsid w:val="77E80025"/>
    <w:rsid w:val="77FD14CD"/>
    <w:rsid w:val="77FD49BF"/>
    <w:rsid w:val="780B0E91"/>
    <w:rsid w:val="780E5553"/>
    <w:rsid w:val="781007D0"/>
    <w:rsid w:val="781400F4"/>
    <w:rsid w:val="78284AA1"/>
    <w:rsid w:val="782B7A82"/>
    <w:rsid w:val="78335932"/>
    <w:rsid w:val="78342BFE"/>
    <w:rsid w:val="78381BDF"/>
    <w:rsid w:val="783C5C12"/>
    <w:rsid w:val="783D42FB"/>
    <w:rsid w:val="783F561E"/>
    <w:rsid w:val="784811A2"/>
    <w:rsid w:val="784D6313"/>
    <w:rsid w:val="78627D0B"/>
    <w:rsid w:val="787212BF"/>
    <w:rsid w:val="78732237"/>
    <w:rsid w:val="78930909"/>
    <w:rsid w:val="78935C12"/>
    <w:rsid w:val="78980533"/>
    <w:rsid w:val="789E75C3"/>
    <w:rsid w:val="78AD313F"/>
    <w:rsid w:val="78B01E75"/>
    <w:rsid w:val="78BE05D7"/>
    <w:rsid w:val="78BE5E7F"/>
    <w:rsid w:val="78D5711D"/>
    <w:rsid w:val="78E83B09"/>
    <w:rsid w:val="78EE5162"/>
    <w:rsid w:val="78F91E55"/>
    <w:rsid w:val="78FA71C1"/>
    <w:rsid w:val="78FF3BFC"/>
    <w:rsid w:val="790E3900"/>
    <w:rsid w:val="791D12D7"/>
    <w:rsid w:val="79222CE5"/>
    <w:rsid w:val="792339A0"/>
    <w:rsid w:val="792702FB"/>
    <w:rsid w:val="79304FC0"/>
    <w:rsid w:val="793150EC"/>
    <w:rsid w:val="79336CA0"/>
    <w:rsid w:val="794530C2"/>
    <w:rsid w:val="79725D75"/>
    <w:rsid w:val="79765133"/>
    <w:rsid w:val="797711F5"/>
    <w:rsid w:val="79881741"/>
    <w:rsid w:val="799678E9"/>
    <w:rsid w:val="79AB4472"/>
    <w:rsid w:val="79BC1E65"/>
    <w:rsid w:val="79BC5AF1"/>
    <w:rsid w:val="79BC691E"/>
    <w:rsid w:val="79C370CC"/>
    <w:rsid w:val="79CB4015"/>
    <w:rsid w:val="79EA7D45"/>
    <w:rsid w:val="79EC2752"/>
    <w:rsid w:val="79FC3536"/>
    <w:rsid w:val="7A022DAC"/>
    <w:rsid w:val="7A077D86"/>
    <w:rsid w:val="7A0F6AA3"/>
    <w:rsid w:val="7A1D24B9"/>
    <w:rsid w:val="7A262361"/>
    <w:rsid w:val="7A29027E"/>
    <w:rsid w:val="7A2B4E0B"/>
    <w:rsid w:val="7A2F1E62"/>
    <w:rsid w:val="7A3000FF"/>
    <w:rsid w:val="7A3D4B0E"/>
    <w:rsid w:val="7A524F0D"/>
    <w:rsid w:val="7A7443E6"/>
    <w:rsid w:val="7A8157E9"/>
    <w:rsid w:val="7A820CB5"/>
    <w:rsid w:val="7A8D74A2"/>
    <w:rsid w:val="7A9C45C8"/>
    <w:rsid w:val="7AA0686D"/>
    <w:rsid w:val="7AA42764"/>
    <w:rsid w:val="7AB3181F"/>
    <w:rsid w:val="7AB65491"/>
    <w:rsid w:val="7AC048A7"/>
    <w:rsid w:val="7AEF76CB"/>
    <w:rsid w:val="7AF4245F"/>
    <w:rsid w:val="7B056A7F"/>
    <w:rsid w:val="7B082DB3"/>
    <w:rsid w:val="7B0A12D7"/>
    <w:rsid w:val="7B1743C0"/>
    <w:rsid w:val="7B2429F8"/>
    <w:rsid w:val="7B265958"/>
    <w:rsid w:val="7B336BC8"/>
    <w:rsid w:val="7B3E5BD9"/>
    <w:rsid w:val="7B411828"/>
    <w:rsid w:val="7B4229E6"/>
    <w:rsid w:val="7B443620"/>
    <w:rsid w:val="7B4E1B6F"/>
    <w:rsid w:val="7B560A24"/>
    <w:rsid w:val="7B5810C9"/>
    <w:rsid w:val="7B590472"/>
    <w:rsid w:val="7B664919"/>
    <w:rsid w:val="7B666F72"/>
    <w:rsid w:val="7B681541"/>
    <w:rsid w:val="7B6C7AFA"/>
    <w:rsid w:val="7B711D02"/>
    <w:rsid w:val="7B8E13EB"/>
    <w:rsid w:val="7BA1297E"/>
    <w:rsid w:val="7BA44318"/>
    <w:rsid w:val="7BAE2D8D"/>
    <w:rsid w:val="7BBE70D0"/>
    <w:rsid w:val="7BC70E87"/>
    <w:rsid w:val="7BD44EE3"/>
    <w:rsid w:val="7BDE7643"/>
    <w:rsid w:val="7BE45866"/>
    <w:rsid w:val="7BEE1EEB"/>
    <w:rsid w:val="7BF40907"/>
    <w:rsid w:val="7C194DCB"/>
    <w:rsid w:val="7C2036C5"/>
    <w:rsid w:val="7C21033A"/>
    <w:rsid w:val="7C27425D"/>
    <w:rsid w:val="7C330C76"/>
    <w:rsid w:val="7C4C5FDA"/>
    <w:rsid w:val="7C5062E6"/>
    <w:rsid w:val="7C5E7893"/>
    <w:rsid w:val="7C76130F"/>
    <w:rsid w:val="7C817D22"/>
    <w:rsid w:val="7C82417D"/>
    <w:rsid w:val="7C886DA3"/>
    <w:rsid w:val="7C8E405C"/>
    <w:rsid w:val="7C8F12C6"/>
    <w:rsid w:val="7C904C17"/>
    <w:rsid w:val="7C990F7B"/>
    <w:rsid w:val="7C992D45"/>
    <w:rsid w:val="7C993C6F"/>
    <w:rsid w:val="7CA01071"/>
    <w:rsid w:val="7CB44F60"/>
    <w:rsid w:val="7CBC3D27"/>
    <w:rsid w:val="7CD5583A"/>
    <w:rsid w:val="7CE53197"/>
    <w:rsid w:val="7CF177AF"/>
    <w:rsid w:val="7D0B5714"/>
    <w:rsid w:val="7D180444"/>
    <w:rsid w:val="7D1D7B5D"/>
    <w:rsid w:val="7D246B41"/>
    <w:rsid w:val="7D3D330D"/>
    <w:rsid w:val="7D3E6D4F"/>
    <w:rsid w:val="7D3F7B43"/>
    <w:rsid w:val="7D40373A"/>
    <w:rsid w:val="7D412929"/>
    <w:rsid w:val="7D4157D8"/>
    <w:rsid w:val="7D480840"/>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DF11A4"/>
    <w:rsid w:val="7DE41C45"/>
    <w:rsid w:val="7DFD7AA5"/>
    <w:rsid w:val="7E1741FF"/>
    <w:rsid w:val="7E183080"/>
    <w:rsid w:val="7E1A6A4C"/>
    <w:rsid w:val="7E1D4BD1"/>
    <w:rsid w:val="7E1E164C"/>
    <w:rsid w:val="7E236558"/>
    <w:rsid w:val="7E2767EA"/>
    <w:rsid w:val="7E2F1CBD"/>
    <w:rsid w:val="7E310BC1"/>
    <w:rsid w:val="7E3239CA"/>
    <w:rsid w:val="7E336A9D"/>
    <w:rsid w:val="7E3C4EA2"/>
    <w:rsid w:val="7E405738"/>
    <w:rsid w:val="7E510CBD"/>
    <w:rsid w:val="7E5155FB"/>
    <w:rsid w:val="7E54753C"/>
    <w:rsid w:val="7E582E84"/>
    <w:rsid w:val="7E5E609E"/>
    <w:rsid w:val="7E5F5FE3"/>
    <w:rsid w:val="7E6D347C"/>
    <w:rsid w:val="7E6E4981"/>
    <w:rsid w:val="7E7354F5"/>
    <w:rsid w:val="7E7B6FE3"/>
    <w:rsid w:val="7E805D08"/>
    <w:rsid w:val="7E81400A"/>
    <w:rsid w:val="7E82584A"/>
    <w:rsid w:val="7E943510"/>
    <w:rsid w:val="7E986A37"/>
    <w:rsid w:val="7EDF056C"/>
    <w:rsid w:val="7EEDB6B1"/>
    <w:rsid w:val="7EEF2E28"/>
    <w:rsid w:val="7EF21F47"/>
    <w:rsid w:val="7EF31942"/>
    <w:rsid w:val="7EFB4FD9"/>
    <w:rsid w:val="7EFD2A44"/>
    <w:rsid w:val="7F011AFE"/>
    <w:rsid w:val="7F0C3BD0"/>
    <w:rsid w:val="7F303107"/>
    <w:rsid w:val="7F326A44"/>
    <w:rsid w:val="7F33157B"/>
    <w:rsid w:val="7F3D1095"/>
    <w:rsid w:val="7F4327F8"/>
    <w:rsid w:val="7F480CEA"/>
    <w:rsid w:val="7F4E4945"/>
    <w:rsid w:val="7F593BCF"/>
    <w:rsid w:val="7F675F78"/>
    <w:rsid w:val="7F727385"/>
    <w:rsid w:val="7F7741D2"/>
    <w:rsid w:val="7F7C2FEC"/>
    <w:rsid w:val="7F801D46"/>
    <w:rsid w:val="7FBC103A"/>
    <w:rsid w:val="7FC6538A"/>
    <w:rsid w:val="7FCC271C"/>
    <w:rsid w:val="7FE20B4D"/>
    <w:rsid w:val="7FE61D04"/>
    <w:rsid w:val="7FF20382"/>
    <w:rsid w:val="7FF21DC8"/>
    <w:rsid w:val="7FF52749"/>
    <w:rsid w:val="7FF7505D"/>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3"/>
    <w:link w:val="60"/>
    <w:autoRedefine/>
    <w:qFormat/>
    <w:uiPriority w:val="9"/>
    <w:pPr>
      <w:keepNext/>
      <w:jc w:val="center"/>
      <w:outlineLvl w:val="0"/>
    </w:pPr>
    <w:rPr>
      <w:rFonts w:ascii="楷体_GB2312" w:hAnsi="楷体_GB2312"/>
      <w:b/>
      <w:sz w:val="32"/>
      <w:szCs w:val="32"/>
    </w:rPr>
  </w:style>
  <w:style w:type="paragraph" w:styleId="4">
    <w:name w:val="heading 2"/>
    <w:basedOn w:val="1"/>
    <w:next w:val="1"/>
    <w:link w:val="93"/>
    <w:autoRedefine/>
    <w:qFormat/>
    <w:uiPriority w:val="0"/>
    <w:pPr>
      <w:keepNext/>
      <w:keepLines/>
      <w:spacing w:before="200" w:after="200" w:line="480" w:lineRule="auto"/>
      <w:jc w:val="left"/>
      <w:outlineLvl w:val="1"/>
    </w:pPr>
    <w:rPr>
      <w:rFonts w:ascii="Arial" w:hAnsi="Arial" w:cs="Arial"/>
      <w:b/>
      <w:bCs/>
      <w:sz w:val="30"/>
      <w:szCs w:val="30"/>
    </w:rPr>
  </w:style>
  <w:style w:type="paragraph" w:styleId="5">
    <w:name w:val="heading 3"/>
    <w:basedOn w:val="1"/>
    <w:next w:val="3"/>
    <w:link w:val="88"/>
    <w:autoRedefine/>
    <w:qFormat/>
    <w:uiPriority w:val="0"/>
    <w:pPr>
      <w:keepNext/>
      <w:keepLines/>
      <w:spacing w:before="200" w:after="100" w:line="480" w:lineRule="auto"/>
      <w:jc w:val="left"/>
      <w:outlineLvl w:val="2"/>
    </w:pPr>
    <w:rPr>
      <w:b/>
      <w:bCs/>
      <w:sz w:val="28"/>
      <w:szCs w:val="32"/>
    </w:rPr>
  </w:style>
  <w:style w:type="paragraph" w:styleId="6">
    <w:name w:val="heading 4"/>
    <w:basedOn w:val="1"/>
    <w:next w:val="1"/>
    <w:link w:val="61"/>
    <w:autoRedefine/>
    <w:qFormat/>
    <w:uiPriority w:val="0"/>
    <w:pPr>
      <w:keepNext/>
      <w:keepLines/>
      <w:ind w:firstLine="420" w:firstLineChars="150"/>
      <w:outlineLvl w:val="3"/>
    </w:pPr>
    <w:rPr>
      <w:rFonts w:ascii="Arial" w:hAnsi="Arial" w:cs="Arial"/>
      <w:b/>
      <w:sz w:val="28"/>
      <w:szCs w:val="28"/>
    </w:rPr>
  </w:style>
  <w:style w:type="paragraph" w:styleId="7">
    <w:name w:val="heading 5"/>
    <w:basedOn w:val="1"/>
    <w:next w:val="3"/>
    <w:link w:val="98"/>
    <w:autoRedefine/>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89"/>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9"/>
    <w:autoRedefine/>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70"/>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4"/>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link w:val="76"/>
    <w:autoRedefine/>
    <w:qFormat/>
    <w:uiPriority w:val="0"/>
    <w:pPr>
      <w:ind w:firstLine="420"/>
    </w:pPr>
  </w:style>
  <w:style w:type="paragraph" w:styleId="12">
    <w:name w:val="List 3"/>
    <w:basedOn w:val="1"/>
    <w:autoRedefine/>
    <w:qFormat/>
    <w:uiPriority w:val="0"/>
    <w:pPr>
      <w:ind w:left="100" w:leftChars="400" w:hanging="200" w:hangingChars="200"/>
    </w:pPr>
  </w:style>
  <w:style w:type="paragraph" w:styleId="13">
    <w:name w:val="Document Map"/>
    <w:basedOn w:val="1"/>
    <w:link w:val="95"/>
    <w:autoRedefine/>
    <w:semiHidden/>
    <w:qFormat/>
    <w:uiPriority w:val="0"/>
    <w:pPr>
      <w:shd w:val="clear" w:color="auto" w:fill="000080"/>
    </w:pPr>
  </w:style>
  <w:style w:type="paragraph" w:styleId="14">
    <w:name w:val="toa heading"/>
    <w:basedOn w:val="1"/>
    <w:next w:val="1"/>
    <w:autoRedefine/>
    <w:qFormat/>
    <w:uiPriority w:val="0"/>
    <w:pPr>
      <w:spacing w:before="120"/>
    </w:pPr>
    <w:rPr>
      <w:rFonts w:ascii="Cambria" w:hAnsi="Cambria"/>
      <w:sz w:val="24"/>
    </w:rPr>
  </w:style>
  <w:style w:type="paragraph" w:styleId="15">
    <w:name w:val="annotation text"/>
    <w:basedOn w:val="1"/>
    <w:link w:val="208"/>
    <w:autoRedefine/>
    <w:semiHidden/>
    <w:qFormat/>
    <w:uiPriority w:val="0"/>
    <w:pPr>
      <w:jc w:val="left"/>
    </w:pPr>
  </w:style>
  <w:style w:type="paragraph" w:styleId="16">
    <w:name w:val="Body Text 3"/>
    <w:basedOn w:val="1"/>
    <w:link w:val="72"/>
    <w:autoRedefine/>
    <w:qFormat/>
    <w:uiPriority w:val="0"/>
    <w:rPr>
      <w:rFonts w:ascii="仿宋_GB2312" w:hAnsi="Arial" w:eastAsia="仿宋_GB2312"/>
      <w:sz w:val="32"/>
      <w:szCs w:val="32"/>
    </w:rPr>
  </w:style>
  <w:style w:type="paragraph" w:styleId="17">
    <w:name w:val="Body Text"/>
    <w:basedOn w:val="1"/>
    <w:next w:val="1"/>
    <w:link w:val="68"/>
    <w:autoRedefine/>
    <w:qFormat/>
    <w:uiPriority w:val="0"/>
    <w:rPr>
      <w:rFonts w:ascii="楷体_GB2312" w:hAnsi="Arial" w:eastAsia="楷体_GB2312"/>
      <w:sz w:val="28"/>
      <w:szCs w:val="28"/>
    </w:rPr>
  </w:style>
  <w:style w:type="paragraph" w:styleId="18">
    <w:name w:val="Body Text Indent"/>
    <w:basedOn w:val="1"/>
    <w:next w:val="3"/>
    <w:link w:val="74"/>
    <w:autoRedefine/>
    <w:qFormat/>
    <w:uiPriority w:val="0"/>
    <w:pPr>
      <w:ind w:firstLine="645"/>
    </w:pPr>
    <w:rPr>
      <w:rFonts w:ascii="楷体_GB2312" w:eastAsia="楷体_GB2312"/>
      <w:sz w:val="32"/>
      <w:szCs w:val="32"/>
    </w:rPr>
  </w:style>
  <w:style w:type="paragraph" w:styleId="19">
    <w:name w:val="List 2"/>
    <w:basedOn w:val="1"/>
    <w:autoRedefine/>
    <w:qFormat/>
    <w:uiPriority w:val="0"/>
    <w:pPr>
      <w:ind w:left="100" w:leftChars="200" w:hanging="200" w:hangingChars="200"/>
    </w:pPr>
  </w:style>
  <w:style w:type="paragraph" w:styleId="20">
    <w:name w:val="toc 3"/>
    <w:basedOn w:val="21"/>
    <w:next w:val="1"/>
    <w:autoRedefine/>
    <w:qFormat/>
    <w:uiPriority w:val="39"/>
    <w:pPr>
      <w:ind w:left="840" w:leftChars="400"/>
    </w:pPr>
  </w:style>
  <w:style w:type="paragraph" w:styleId="21">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2">
    <w:name w:val="Plain Text"/>
    <w:basedOn w:val="1"/>
    <w:link w:val="97"/>
    <w:autoRedefine/>
    <w:qFormat/>
    <w:uiPriority w:val="0"/>
    <w:rPr>
      <w:rFonts w:ascii="宋体" w:hAnsi="Courier New" w:cs="Courier New"/>
    </w:rPr>
  </w:style>
  <w:style w:type="paragraph" w:styleId="23">
    <w:name w:val="Date"/>
    <w:basedOn w:val="1"/>
    <w:next w:val="1"/>
    <w:link w:val="80"/>
    <w:autoRedefine/>
    <w:qFormat/>
    <w:uiPriority w:val="0"/>
    <w:rPr>
      <w:sz w:val="24"/>
      <w:szCs w:val="24"/>
    </w:rPr>
  </w:style>
  <w:style w:type="paragraph" w:styleId="24">
    <w:name w:val="Body Text Indent 2"/>
    <w:basedOn w:val="1"/>
    <w:link w:val="75"/>
    <w:autoRedefine/>
    <w:qFormat/>
    <w:uiPriority w:val="0"/>
    <w:pPr>
      <w:ind w:left="630" w:firstLine="645"/>
    </w:pPr>
    <w:rPr>
      <w:rFonts w:ascii="Arial" w:hAnsi="Arial" w:eastAsia="仿宋_GB2312" w:cs="Arial"/>
      <w:sz w:val="32"/>
      <w:szCs w:val="32"/>
    </w:rPr>
  </w:style>
  <w:style w:type="paragraph" w:styleId="25">
    <w:name w:val="Balloon Text"/>
    <w:basedOn w:val="1"/>
    <w:link w:val="99"/>
    <w:autoRedefine/>
    <w:semiHidden/>
    <w:qFormat/>
    <w:uiPriority w:val="0"/>
    <w:rPr>
      <w:sz w:val="18"/>
      <w:szCs w:val="18"/>
    </w:rPr>
  </w:style>
  <w:style w:type="paragraph" w:styleId="26">
    <w:name w:val="footer"/>
    <w:basedOn w:val="1"/>
    <w:link w:val="73"/>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7">
    <w:name w:val="header"/>
    <w:basedOn w:val="1"/>
    <w:link w:val="91"/>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4"/>
    <w:basedOn w:val="1"/>
    <w:next w:val="1"/>
    <w:autoRedefine/>
    <w:qFormat/>
    <w:uiPriority w:val="39"/>
    <w:pPr>
      <w:ind w:left="960"/>
      <w:jc w:val="left"/>
    </w:pPr>
    <w:rPr>
      <w:rFonts w:ascii="Calibri" w:hAnsi="Calibri"/>
      <w:sz w:val="18"/>
      <w:szCs w:val="18"/>
    </w:rPr>
  </w:style>
  <w:style w:type="paragraph" w:styleId="29">
    <w:name w:val="List"/>
    <w:basedOn w:val="1"/>
    <w:autoRedefine/>
    <w:qFormat/>
    <w:uiPriority w:val="0"/>
    <w:pPr>
      <w:ind w:left="200" w:hanging="200" w:hangingChars="200"/>
    </w:pPr>
  </w:style>
  <w:style w:type="paragraph" w:styleId="30">
    <w:name w:val="footnote text"/>
    <w:basedOn w:val="1"/>
    <w:link w:val="209"/>
    <w:autoRedefine/>
    <w:qFormat/>
    <w:uiPriority w:val="0"/>
    <w:pPr>
      <w:snapToGrid w:val="0"/>
      <w:jc w:val="left"/>
    </w:pPr>
    <w:rPr>
      <w:sz w:val="18"/>
    </w:rPr>
  </w:style>
  <w:style w:type="paragraph" w:styleId="31">
    <w:name w:val="Body Text Indent 3"/>
    <w:basedOn w:val="1"/>
    <w:link w:val="90"/>
    <w:autoRedefine/>
    <w:qFormat/>
    <w:uiPriority w:val="0"/>
    <w:pPr>
      <w:ind w:left="645" w:firstLine="645"/>
    </w:pPr>
    <w:rPr>
      <w:rFonts w:ascii="Arial" w:hAnsi="Arial" w:eastAsia="仿宋_GB2312" w:cs="Arial"/>
      <w:color w:val="FFFF00"/>
      <w:sz w:val="32"/>
      <w:szCs w:val="32"/>
    </w:rPr>
  </w:style>
  <w:style w:type="paragraph" w:styleId="32">
    <w:name w:val="toc 2"/>
    <w:basedOn w:val="21"/>
    <w:next w:val="1"/>
    <w:autoRedefine/>
    <w:qFormat/>
    <w:uiPriority w:val="39"/>
    <w:pPr>
      <w:ind w:left="210"/>
    </w:pPr>
    <w:rPr>
      <w:smallCaps/>
      <w:szCs w:val="24"/>
    </w:rPr>
  </w:style>
  <w:style w:type="paragraph" w:styleId="33">
    <w:name w:val="Body Text 2"/>
    <w:basedOn w:val="1"/>
    <w:link w:val="96"/>
    <w:autoRedefine/>
    <w:qFormat/>
    <w:uiPriority w:val="0"/>
    <w:pPr>
      <w:widowControl/>
      <w:jc w:val="center"/>
    </w:pPr>
    <w:rPr>
      <w:rFonts w:ascii="楷体_GB2312" w:eastAsia="楷体_GB2312"/>
      <w:sz w:val="28"/>
      <w:szCs w:val="28"/>
    </w:rPr>
  </w:style>
  <w:style w:type="paragraph" w:styleId="34">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5">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5"/>
    <w:next w:val="15"/>
    <w:link w:val="92"/>
    <w:autoRedefine/>
    <w:semiHidden/>
    <w:qFormat/>
    <w:uiPriority w:val="0"/>
    <w:rPr>
      <w:b/>
      <w:bCs/>
    </w:rPr>
  </w:style>
  <w:style w:type="paragraph" w:styleId="37">
    <w:name w:val="Body Text First Indent"/>
    <w:basedOn w:val="17"/>
    <w:link w:val="94"/>
    <w:autoRedefine/>
    <w:qFormat/>
    <w:uiPriority w:val="0"/>
    <w:pPr>
      <w:spacing w:line="360" w:lineRule="auto"/>
      <w:ind w:firstLine="200" w:firstLineChars="200"/>
    </w:pPr>
    <w:rPr>
      <w:rFonts w:ascii="仿宋_GB2312" w:eastAsia="仿宋_GB2312"/>
      <w:sz w:val="30"/>
      <w:szCs w:val="30"/>
    </w:rPr>
  </w:style>
  <w:style w:type="paragraph" w:styleId="38">
    <w:name w:val="Body Text First Indent 2"/>
    <w:basedOn w:val="18"/>
    <w:next w:val="1"/>
    <w:link w:val="77"/>
    <w:autoRedefine/>
    <w:qFormat/>
    <w:uiPriority w:val="0"/>
    <w:pPr>
      <w:spacing w:line="360" w:lineRule="auto"/>
      <w:ind w:firstLine="420" w:firstLineChars="200"/>
    </w:pPr>
    <w:rPr>
      <w:rFonts w:ascii="宋体" w:hAnsi="宋体" w:eastAsia="宋体"/>
      <w:sz w:val="21"/>
      <w:szCs w:val="20"/>
    </w:rPr>
  </w:style>
  <w:style w:type="table" w:styleId="40">
    <w:name w:val="Table Grid"/>
    <w:basedOn w:val="3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autoRedefine/>
    <w:qFormat/>
    <w:uiPriority w:val="0"/>
    <w:rPr>
      <w:b/>
      <w:bCs/>
    </w:rPr>
  </w:style>
  <w:style w:type="character" w:styleId="43">
    <w:name w:val="page number"/>
    <w:basedOn w:val="41"/>
    <w:autoRedefine/>
    <w:qFormat/>
    <w:uiPriority w:val="0"/>
  </w:style>
  <w:style w:type="character" w:styleId="44">
    <w:name w:val="FollowedHyperlink"/>
    <w:autoRedefine/>
    <w:qFormat/>
    <w:uiPriority w:val="99"/>
    <w:rPr>
      <w:color w:val="800080"/>
      <w:u w:val="single"/>
    </w:rPr>
  </w:style>
  <w:style w:type="character" w:styleId="45">
    <w:name w:val="Emphasis"/>
    <w:basedOn w:val="41"/>
    <w:autoRedefine/>
    <w:qFormat/>
    <w:uiPriority w:val="0"/>
  </w:style>
  <w:style w:type="character" w:styleId="46">
    <w:name w:val="HTML Definition"/>
    <w:basedOn w:val="41"/>
    <w:autoRedefine/>
    <w:qFormat/>
    <w:uiPriority w:val="0"/>
  </w:style>
  <w:style w:type="character" w:styleId="47">
    <w:name w:val="HTML Typewriter"/>
    <w:basedOn w:val="41"/>
    <w:autoRedefine/>
    <w:qFormat/>
    <w:uiPriority w:val="0"/>
    <w:rPr>
      <w:rFonts w:hint="default" w:ascii="monospace" w:hAnsi="monospace" w:eastAsia="monospace" w:cs="monospace"/>
      <w:sz w:val="20"/>
    </w:rPr>
  </w:style>
  <w:style w:type="character" w:styleId="48">
    <w:name w:val="HTML Acronym"/>
    <w:basedOn w:val="41"/>
    <w:autoRedefine/>
    <w:qFormat/>
    <w:uiPriority w:val="0"/>
  </w:style>
  <w:style w:type="character" w:styleId="49">
    <w:name w:val="HTML Variable"/>
    <w:basedOn w:val="41"/>
    <w:autoRedefine/>
    <w:qFormat/>
    <w:uiPriority w:val="0"/>
  </w:style>
  <w:style w:type="character" w:styleId="50">
    <w:name w:val="Hyperlink"/>
    <w:autoRedefine/>
    <w:qFormat/>
    <w:uiPriority w:val="99"/>
    <w:rPr>
      <w:color w:val="0000FF"/>
      <w:u w:val="single"/>
    </w:rPr>
  </w:style>
  <w:style w:type="character" w:styleId="51">
    <w:name w:val="HTML Code"/>
    <w:basedOn w:val="41"/>
    <w:autoRedefine/>
    <w:qFormat/>
    <w:uiPriority w:val="0"/>
    <w:rPr>
      <w:rFonts w:hint="default" w:ascii="monospace" w:hAnsi="monospace" w:eastAsia="monospace" w:cs="monospace"/>
      <w:sz w:val="20"/>
    </w:rPr>
  </w:style>
  <w:style w:type="character" w:styleId="52">
    <w:name w:val="annotation reference"/>
    <w:autoRedefine/>
    <w:qFormat/>
    <w:uiPriority w:val="0"/>
    <w:rPr>
      <w:sz w:val="21"/>
      <w:szCs w:val="21"/>
    </w:rPr>
  </w:style>
  <w:style w:type="character" w:styleId="53">
    <w:name w:val="HTML Cite"/>
    <w:basedOn w:val="41"/>
    <w:autoRedefine/>
    <w:qFormat/>
    <w:uiPriority w:val="0"/>
  </w:style>
  <w:style w:type="character" w:styleId="54">
    <w:name w:val="HTML Keyboard"/>
    <w:basedOn w:val="41"/>
    <w:autoRedefine/>
    <w:qFormat/>
    <w:uiPriority w:val="0"/>
    <w:rPr>
      <w:rFonts w:hint="default" w:ascii="monospace" w:hAnsi="monospace" w:eastAsia="monospace" w:cs="monospace"/>
      <w:sz w:val="20"/>
    </w:rPr>
  </w:style>
  <w:style w:type="character" w:styleId="55">
    <w:name w:val="HTML Sample"/>
    <w:basedOn w:val="41"/>
    <w:autoRedefine/>
    <w:qFormat/>
    <w:uiPriority w:val="0"/>
    <w:rPr>
      <w:rFonts w:ascii="monospace" w:hAnsi="monospace" w:eastAsia="monospace" w:cs="monospace"/>
    </w:rPr>
  </w:style>
  <w:style w:type="paragraph" w:customStyle="1" w:styleId="56">
    <w:name w:val="无间隔1"/>
    <w:basedOn w:val="57"/>
    <w:autoRedefine/>
    <w:qFormat/>
    <w:uiPriority w:val="1"/>
    <w:pPr>
      <w:spacing w:line="400" w:lineRule="exact"/>
    </w:pPr>
    <w:rPr>
      <w:sz w:val="24"/>
    </w:rPr>
  </w:style>
  <w:style w:type="paragraph" w:customStyle="1" w:styleId="57">
    <w:name w:val="正文1"/>
    <w:next w:val="58"/>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8">
    <w:name w:val="页脚1"/>
    <w:basedOn w:val="57"/>
    <w:autoRedefine/>
    <w:unhideWhenUsed/>
    <w:qFormat/>
    <w:uiPriority w:val="99"/>
    <w:pPr>
      <w:tabs>
        <w:tab w:val="center" w:pos="4153"/>
        <w:tab w:val="right" w:pos="8306"/>
      </w:tabs>
      <w:snapToGrid w:val="0"/>
      <w:jc w:val="left"/>
    </w:pPr>
    <w:rPr>
      <w:rFonts w:ascii="Times New Roman"/>
      <w:sz w:val="18"/>
      <w:szCs w:val="18"/>
    </w:rPr>
  </w:style>
  <w:style w:type="paragraph" w:customStyle="1" w:styleId="59">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60">
    <w:name w:val="标题 1 字符"/>
    <w:link w:val="2"/>
    <w:autoRedefine/>
    <w:qFormat/>
    <w:uiPriority w:val="9"/>
    <w:rPr>
      <w:rFonts w:ascii="楷体_GB2312" w:hAnsi="楷体_GB2312" w:eastAsia="宋体"/>
      <w:b/>
      <w:kern w:val="2"/>
      <w:sz w:val="32"/>
      <w:szCs w:val="32"/>
      <w:lang w:val="en-US" w:eastAsia="zh-CN" w:bidi="ar-SA"/>
    </w:rPr>
  </w:style>
  <w:style w:type="character" w:customStyle="1" w:styleId="61">
    <w:name w:val="标题 4 字符"/>
    <w:link w:val="6"/>
    <w:autoRedefine/>
    <w:qFormat/>
    <w:uiPriority w:val="0"/>
    <w:rPr>
      <w:rFonts w:ascii="Arial" w:hAnsi="Arial" w:eastAsia="宋体" w:cs="Arial"/>
      <w:b/>
      <w:kern w:val="2"/>
      <w:sz w:val="28"/>
      <w:szCs w:val="28"/>
      <w:lang w:val="en-US" w:eastAsia="zh-CN" w:bidi="ar-SA"/>
    </w:rPr>
  </w:style>
  <w:style w:type="paragraph" w:customStyle="1" w:styleId="62">
    <w:name w:val="标题 5（有编号）（绿盟科技）"/>
    <w:basedOn w:val="1"/>
    <w:next w:val="63"/>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63">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4">
    <w:name w:val="标题 9 字符"/>
    <w:link w:val="11"/>
    <w:autoRedefine/>
    <w:qFormat/>
    <w:uiPriority w:val="0"/>
    <w:rPr>
      <w:rFonts w:ascii="Arial" w:hAnsi="Arial" w:eastAsia="黑体"/>
      <w:kern w:val="2"/>
      <w:sz w:val="21"/>
      <w:szCs w:val="21"/>
      <w:lang w:val="en-US" w:eastAsia="zh-CN" w:bidi="ar-SA"/>
    </w:rPr>
  </w:style>
  <w:style w:type="character" w:customStyle="1" w:styleId="65">
    <w:name w:val="正文缩进 Char"/>
    <w:autoRedefine/>
    <w:qFormat/>
    <w:uiPriority w:val="0"/>
    <w:rPr>
      <w:kern w:val="2"/>
      <w:sz w:val="21"/>
      <w:szCs w:val="21"/>
    </w:rPr>
  </w:style>
  <w:style w:type="character" w:customStyle="1" w:styleId="66">
    <w:name w:val="列出段落 Char"/>
    <w:link w:val="67"/>
    <w:autoRedefine/>
    <w:qFormat/>
    <w:locked/>
    <w:uiPriority w:val="0"/>
    <w:rPr>
      <w:rFonts w:ascii="Calibri" w:hAnsi="Calibri"/>
      <w:sz w:val="24"/>
      <w:szCs w:val="24"/>
      <w:lang w:eastAsia="en-US" w:bidi="en-US"/>
    </w:rPr>
  </w:style>
  <w:style w:type="paragraph" w:customStyle="1" w:styleId="67">
    <w:name w:val="列出段落11"/>
    <w:basedOn w:val="1"/>
    <w:link w:val="66"/>
    <w:autoRedefine/>
    <w:qFormat/>
    <w:uiPriority w:val="0"/>
    <w:pPr>
      <w:widowControl/>
      <w:ind w:left="720"/>
      <w:contextualSpacing/>
      <w:jc w:val="left"/>
    </w:pPr>
    <w:rPr>
      <w:rFonts w:ascii="Calibri" w:hAnsi="Calibri"/>
      <w:kern w:val="0"/>
      <w:sz w:val="24"/>
      <w:szCs w:val="24"/>
      <w:lang w:eastAsia="en-US" w:bidi="en-US"/>
    </w:rPr>
  </w:style>
  <w:style w:type="character" w:customStyle="1" w:styleId="68">
    <w:name w:val="正文文本 字符"/>
    <w:link w:val="17"/>
    <w:autoRedefine/>
    <w:qFormat/>
    <w:uiPriority w:val="0"/>
    <w:rPr>
      <w:rFonts w:ascii="楷体_GB2312" w:hAnsi="Arial" w:eastAsia="楷体_GB2312"/>
      <w:kern w:val="2"/>
      <w:sz w:val="28"/>
      <w:szCs w:val="28"/>
      <w:lang w:val="en-US" w:eastAsia="zh-CN" w:bidi="ar-SA"/>
    </w:rPr>
  </w:style>
  <w:style w:type="character" w:customStyle="1" w:styleId="69">
    <w:name w:val="标题 7 字符"/>
    <w:link w:val="9"/>
    <w:autoRedefine/>
    <w:qFormat/>
    <w:uiPriority w:val="0"/>
    <w:rPr>
      <w:rFonts w:eastAsia="宋体"/>
      <w:b/>
      <w:bCs/>
      <w:kern w:val="2"/>
      <w:sz w:val="24"/>
      <w:szCs w:val="24"/>
      <w:lang w:val="en-US" w:eastAsia="zh-CN" w:bidi="ar-SA"/>
    </w:rPr>
  </w:style>
  <w:style w:type="character" w:customStyle="1" w:styleId="70">
    <w:name w:val="标题 8 字符"/>
    <w:link w:val="10"/>
    <w:autoRedefine/>
    <w:qFormat/>
    <w:uiPriority w:val="0"/>
    <w:rPr>
      <w:rFonts w:ascii="Arial" w:hAnsi="Arial" w:eastAsia="黑体"/>
      <w:kern w:val="2"/>
      <w:sz w:val="24"/>
      <w:szCs w:val="24"/>
      <w:lang w:val="en-US" w:eastAsia="zh-CN" w:bidi="ar-SA"/>
    </w:rPr>
  </w:style>
  <w:style w:type="character" w:customStyle="1" w:styleId="71">
    <w:name w:val="正文首行缩进 Char"/>
    <w:autoRedefine/>
    <w:qFormat/>
    <w:uiPriority w:val="0"/>
    <w:rPr>
      <w:rFonts w:ascii="仿宋_GB2312" w:hAnsi="Times New Roman" w:eastAsia="仿宋_GB2312" w:cs="Times New Roman"/>
      <w:kern w:val="2"/>
      <w:sz w:val="30"/>
      <w:szCs w:val="30"/>
    </w:rPr>
  </w:style>
  <w:style w:type="character" w:customStyle="1" w:styleId="72">
    <w:name w:val="正文文本 3 字符"/>
    <w:link w:val="16"/>
    <w:autoRedefine/>
    <w:qFormat/>
    <w:uiPriority w:val="0"/>
    <w:rPr>
      <w:rFonts w:ascii="仿宋_GB2312" w:hAnsi="Arial" w:eastAsia="仿宋_GB2312"/>
      <w:kern w:val="2"/>
      <w:sz w:val="32"/>
      <w:szCs w:val="32"/>
      <w:lang w:val="en-US" w:eastAsia="zh-CN" w:bidi="ar-SA"/>
    </w:rPr>
  </w:style>
  <w:style w:type="character" w:customStyle="1" w:styleId="73">
    <w:name w:val="页脚 字符"/>
    <w:link w:val="26"/>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4">
    <w:name w:val="正文文本缩进 字符"/>
    <w:link w:val="18"/>
    <w:autoRedefine/>
    <w:qFormat/>
    <w:uiPriority w:val="0"/>
    <w:rPr>
      <w:rFonts w:ascii="楷体_GB2312" w:eastAsia="楷体_GB2312"/>
      <w:kern w:val="2"/>
      <w:sz w:val="32"/>
      <w:szCs w:val="32"/>
      <w:lang w:val="en-US" w:eastAsia="zh-CN" w:bidi="ar-SA"/>
    </w:rPr>
  </w:style>
  <w:style w:type="character" w:customStyle="1" w:styleId="75">
    <w:name w:val="正文文本缩进 2 字符"/>
    <w:link w:val="24"/>
    <w:autoRedefine/>
    <w:qFormat/>
    <w:uiPriority w:val="0"/>
    <w:rPr>
      <w:rFonts w:ascii="Arial" w:hAnsi="Arial" w:eastAsia="仿宋_GB2312" w:cs="Arial"/>
      <w:kern w:val="2"/>
      <w:sz w:val="32"/>
      <w:szCs w:val="32"/>
      <w:lang w:val="en-US" w:eastAsia="zh-CN" w:bidi="ar-SA"/>
    </w:rPr>
  </w:style>
  <w:style w:type="character" w:customStyle="1" w:styleId="76">
    <w:name w:val="正文缩进 字符1"/>
    <w:link w:val="3"/>
    <w:autoRedefine/>
    <w:qFormat/>
    <w:uiPriority w:val="0"/>
    <w:rPr>
      <w:rFonts w:eastAsia="宋体"/>
      <w:kern w:val="2"/>
      <w:sz w:val="21"/>
      <w:szCs w:val="21"/>
      <w:lang w:bidi="ar-SA"/>
    </w:rPr>
  </w:style>
  <w:style w:type="character" w:customStyle="1" w:styleId="77">
    <w:name w:val="正文文本首行缩进 2 字符"/>
    <w:link w:val="38"/>
    <w:autoRedefine/>
    <w:qFormat/>
    <w:uiPriority w:val="0"/>
    <w:rPr>
      <w:rFonts w:ascii="宋体" w:hAnsi="宋体" w:eastAsia="宋体"/>
      <w:kern w:val="2"/>
      <w:sz w:val="21"/>
      <w:lang w:val="en-US" w:eastAsia="zh-CN" w:bidi="ar-SA"/>
    </w:rPr>
  </w:style>
  <w:style w:type="character" w:customStyle="1" w:styleId="78">
    <w:name w:val="正文首行缩进（qhb） Char"/>
    <w:link w:val="79"/>
    <w:autoRedefine/>
    <w:qFormat/>
    <w:uiPriority w:val="0"/>
    <w:rPr>
      <w:rFonts w:ascii="Arial" w:hAnsi="Arial"/>
      <w:sz w:val="24"/>
      <w:szCs w:val="21"/>
    </w:rPr>
  </w:style>
  <w:style w:type="paragraph" w:customStyle="1" w:styleId="79">
    <w:name w:val="正文首行缩进（qhb）"/>
    <w:basedOn w:val="1"/>
    <w:link w:val="78"/>
    <w:autoRedefine/>
    <w:qFormat/>
    <w:uiPriority w:val="0"/>
    <w:pPr>
      <w:widowControl/>
      <w:spacing w:after="50" w:line="360" w:lineRule="auto"/>
      <w:ind w:firstLine="200" w:firstLineChars="200"/>
      <w:jc w:val="left"/>
    </w:pPr>
    <w:rPr>
      <w:rFonts w:ascii="Arial" w:hAnsi="Arial"/>
      <w:kern w:val="0"/>
      <w:sz w:val="24"/>
    </w:rPr>
  </w:style>
  <w:style w:type="character" w:customStyle="1" w:styleId="80">
    <w:name w:val="日期 字符"/>
    <w:link w:val="23"/>
    <w:autoRedefine/>
    <w:qFormat/>
    <w:uiPriority w:val="0"/>
    <w:rPr>
      <w:rFonts w:eastAsia="宋体"/>
      <w:kern w:val="2"/>
      <w:sz w:val="24"/>
      <w:szCs w:val="24"/>
      <w:lang w:val="en-US" w:eastAsia="zh-CN" w:bidi="ar-SA"/>
    </w:rPr>
  </w:style>
  <w:style w:type="character" w:customStyle="1" w:styleId="81">
    <w:name w:val="font5 Char"/>
    <w:autoRedefine/>
    <w:qFormat/>
    <w:uiPriority w:val="0"/>
    <w:rPr>
      <w:rFonts w:ascii="宋体" w:hAnsi="宋体" w:eastAsia="宋体"/>
      <w:sz w:val="28"/>
      <w:szCs w:val="28"/>
      <w:lang w:val="en-US" w:eastAsia="zh-CN" w:bidi="ar-SA"/>
    </w:rPr>
  </w:style>
  <w:style w:type="character" w:customStyle="1" w:styleId="82">
    <w:name w:val="Char Char2"/>
    <w:autoRedefine/>
    <w:qFormat/>
    <w:uiPriority w:val="0"/>
    <w:rPr>
      <w:rFonts w:ascii="Times New Roman" w:hAnsi="Times New Roman" w:eastAsia="宋体" w:cs="Times New Roman"/>
      <w:szCs w:val="21"/>
    </w:rPr>
  </w:style>
  <w:style w:type="character" w:customStyle="1" w:styleId="83">
    <w:name w:val="正文格式 Char"/>
    <w:link w:val="84"/>
    <w:autoRedefine/>
    <w:qFormat/>
    <w:uiPriority w:val="0"/>
    <w:rPr>
      <w:rFonts w:eastAsia="仿宋_GB2312"/>
      <w:sz w:val="28"/>
      <w:lang w:bidi="ar-SA"/>
    </w:rPr>
  </w:style>
  <w:style w:type="paragraph" w:customStyle="1" w:styleId="84">
    <w:name w:val="正文格式"/>
    <w:basedOn w:val="1"/>
    <w:link w:val="83"/>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5">
    <w:name w:val="二级目录 Char"/>
    <w:link w:val="86"/>
    <w:autoRedefine/>
    <w:qFormat/>
    <w:uiPriority w:val="0"/>
    <w:rPr>
      <w:rFonts w:eastAsia="Times New Roman"/>
      <w:b/>
      <w:kern w:val="2"/>
      <w:sz w:val="30"/>
      <w:szCs w:val="28"/>
      <w:lang w:val="en-US" w:eastAsia="zh-CN" w:bidi="ar-SA"/>
    </w:rPr>
  </w:style>
  <w:style w:type="paragraph" w:customStyle="1" w:styleId="86">
    <w:name w:val="二级目录"/>
    <w:next w:val="1"/>
    <w:link w:val="85"/>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7">
    <w:name w:val="Char Char6"/>
    <w:autoRedefine/>
    <w:qFormat/>
    <w:uiPriority w:val="0"/>
    <w:rPr>
      <w:rFonts w:ascii="Times New Roman" w:hAnsi="Times New Roman" w:eastAsia="宋体" w:cs="Times New Roman"/>
      <w:sz w:val="18"/>
      <w:szCs w:val="18"/>
    </w:rPr>
  </w:style>
  <w:style w:type="character" w:customStyle="1" w:styleId="88">
    <w:name w:val="标题 3 字符"/>
    <w:link w:val="5"/>
    <w:autoRedefine/>
    <w:qFormat/>
    <w:uiPriority w:val="0"/>
    <w:rPr>
      <w:rFonts w:ascii="Times New Roman" w:hAnsi="Times New Roman" w:eastAsia="宋体"/>
      <w:b/>
      <w:bCs/>
      <w:kern w:val="2"/>
      <w:sz w:val="28"/>
      <w:szCs w:val="32"/>
      <w:lang w:val="en-US" w:eastAsia="zh-CN" w:bidi="ar-SA"/>
    </w:rPr>
  </w:style>
  <w:style w:type="character" w:customStyle="1" w:styleId="89">
    <w:name w:val="标题 6 字符"/>
    <w:link w:val="8"/>
    <w:autoRedefine/>
    <w:qFormat/>
    <w:uiPriority w:val="0"/>
    <w:rPr>
      <w:rFonts w:ascii="Arial" w:hAnsi="Arial" w:eastAsia="黑体"/>
      <w:b/>
      <w:bCs/>
      <w:kern w:val="2"/>
      <w:sz w:val="24"/>
      <w:szCs w:val="24"/>
      <w:lang w:val="en-US" w:eastAsia="zh-CN" w:bidi="ar-SA"/>
    </w:rPr>
  </w:style>
  <w:style w:type="character" w:customStyle="1" w:styleId="90">
    <w:name w:val="正文文本缩进 3 字符"/>
    <w:link w:val="31"/>
    <w:autoRedefine/>
    <w:qFormat/>
    <w:uiPriority w:val="0"/>
    <w:rPr>
      <w:rFonts w:ascii="Arial" w:hAnsi="Arial" w:eastAsia="仿宋_GB2312" w:cs="Arial"/>
      <w:color w:val="FFFF00"/>
      <w:kern w:val="2"/>
      <w:sz w:val="32"/>
      <w:szCs w:val="32"/>
      <w:lang w:val="en-US" w:eastAsia="zh-CN" w:bidi="ar-SA"/>
    </w:rPr>
  </w:style>
  <w:style w:type="character" w:customStyle="1" w:styleId="91">
    <w:name w:val="页眉 字符"/>
    <w:link w:val="27"/>
    <w:autoRedefine/>
    <w:qFormat/>
    <w:uiPriority w:val="99"/>
    <w:rPr>
      <w:rFonts w:eastAsia="宋体"/>
      <w:kern w:val="2"/>
      <w:sz w:val="18"/>
      <w:szCs w:val="18"/>
      <w:lang w:val="en-US" w:eastAsia="zh-CN" w:bidi="ar-SA"/>
    </w:rPr>
  </w:style>
  <w:style w:type="character" w:customStyle="1" w:styleId="92">
    <w:name w:val="批注主题 字符"/>
    <w:link w:val="36"/>
    <w:autoRedefine/>
    <w:semiHidden/>
    <w:qFormat/>
    <w:uiPriority w:val="0"/>
    <w:rPr>
      <w:rFonts w:eastAsia="宋体"/>
      <w:b/>
      <w:bCs/>
      <w:kern w:val="2"/>
      <w:sz w:val="21"/>
      <w:szCs w:val="21"/>
      <w:lang w:val="en-US" w:eastAsia="zh-CN" w:bidi="ar-SA"/>
    </w:rPr>
  </w:style>
  <w:style w:type="character" w:customStyle="1" w:styleId="93">
    <w:name w:val="标题 2 字符"/>
    <w:link w:val="4"/>
    <w:autoRedefine/>
    <w:qFormat/>
    <w:uiPriority w:val="0"/>
    <w:rPr>
      <w:rFonts w:ascii="Arial" w:hAnsi="Arial" w:eastAsia="宋体" w:cs="Arial"/>
      <w:b/>
      <w:bCs/>
      <w:kern w:val="2"/>
      <w:sz w:val="30"/>
      <w:szCs w:val="30"/>
      <w:lang w:val="en-US" w:eastAsia="zh-CN" w:bidi="ar-SA"/>
    </w:rPr>
  </w:style>
  <w:style w:type="character" w:customStyle="1" w:styleId="94">
    <w:name w:val="正文文本首行缩进 字符"/>
    <w:link w:val="37"/>
    <w:autoRedefine/>
    <w:qFormat/>
    <w:uiPriority w:val="0"/>
    <w:rPr>
      <w:rFonts w:ascii="仿宋_GB2312" w:eastAsia="仿宋_GB2312"/>
      <w:kern w:val="2"/>
      <w:sz w:val="30"/>
      <w:szCs w:val="30"/>
      <w:lang w:val="en-US" w:eastAsia="zh-CN" w:bidi="ar-SA"/>
    </w:rPr>
  </w:style>
  <w:style w:type="character" w:customStyle="1" w:styleId="95">
    <w:name w:val="文档结构图 字符"/>
    <w:link w:val="13"/>
    <w:autoRedefine/>
    <w:semiHidden/>
    <w:qFormat/>
    <w:uiPriority w:val="0"/>
    <w:rPr>
      <w:rFonts w:eastAsia="宋体"/>
      <w:kern w:val="2"/>
      <w:sz w:val="21"/>
      <w:szCs w:val="21"/>
      <w:lang w:bidi="ar-SA"/>
    </w:rPr>
  </w:style>
  <w:style w:type="character" w:customStyle="1" w:styleId="96">
    <w:name w:val="正文文本 2 字符"/>
    <w:link w:val="33"/>
    <w:autoRedefine/>
    <w:qFormat/>
    <w:uiPriority w:val="0"/>
    <w:rPr>
      <w:rFonts w:ascii="楷体_GB2312" w:eastAsia="楷体_GB2312"/>
      <w:kern w:val="2"/>
      <w:sz w:val="28"/>
      <w:szCs w:val="28"/>
      <w:lang w:val="en-US" w:eastAsia="zh-CN" w:bidi="ar-SA"/>
    </w:rPr>
  </w:style>
  <w:style w:type="character" w:customStyle="1" w:styleId="97">
    <w:name w:val="纯文本 字符1"/>
    <w:link w:val="22"/>
    <w:autoRedefine/>
    <w:qFormat/>
    <w:uiPriority w:val="0"/>
    <w:rPr>
      <w:rFonts w:ascii="宋体" w:hAnsi="Courier New" w:eastAsia="宋体" w:cs="Courier New"/>
      <w:kern w:val="2"/>
      <w:sz w:val="21"/>
      <w:szCs w:val="21"/>
      <w:lang w:val="en-US" w:eastAsia="zh-CN" w:bidi="ar-SA"/>
    </w:rPr>
  </w:style>
  <w:style w:type="character" w:customStyle="1" w:styleId="98">
    <w:name w:val="标题 5 字符"/>
    <w:link w:val="7"/>
    <w:autoRedefine/>
    <w:qFormat/>
    <w:uiPriority w:val="0"/>
    <w:rPr>
      <w:rFonts w:ascii="宋体" w:eastAsia="宋体"/>
      <w:color w:val="000000"/>
      <w:sz w:val="28"/>
      <w:szCs w:val="28"/>
      <w:lang w:val="en-US" w:eastAsia="zh-CN" w:bidi="ar-SA"/>
    </w:rPr>
  </w:style>
  <w:style w:type="character" w:customStyle="1" w:styleId="99">
    <w:name w:val="批注框文本 字符"/>
    <w:link w:val="25"/>
    <w:autoRedefine/>
    <w:semiHidden/>
    <w:qFormat/>
    <w:uiPriority w:val="0"/>
    <w:rPr>
      <w:rFonts w:eastAsia="宋体"/>
      <w:kern w:val="2"/>
      <w:sz w:val="18"/>
      <w:szCs w:val="18"/>
      <w:lang w:val="en-US" w:eastAsia="zh-CN" w:bidi="ar-SA"/>
    </w:rPr>
  </w:style>
  <w:style w:type="paragraph" w:customStyle="1" w:styleId="100">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101">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10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4">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5">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6">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7">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8">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9">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10">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1">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3">
    <w:name w:val="列出段落1"/>
    <w:basedOn w:val="1"/>
    <w:autoRedefine/>
    <w:qFormat/>
    <w:uiPriority w:val="99"/>
    <w:pPr>
      <w:ind w:firstLine="420" w:firstLineChars="200"/>
    </w:pPr>
  </w:style>
  <w:style w:type="paragraph" w:customStyle="1" w:styleId="114">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5">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6">
    <w:name w:val="Char"/>
    <w:basedOn w:val="1"/>
    <w:autoRedefine/>
    <w:qFormat/>
    <w:uiPriority w:val="0"/>
    <w:pPr>
      <w:tabs>
        <w:tab w:val="left" w:pos="360"/>
      </w:tabs>
      <w:ind w:firstLine="200" w:firstLineChars="200"/>
    </w:pPr>
    <w:rPr>
      <w:sz w:val="28"/>
      <w:szCs w:val="30"/>
    </w:rPr>
  </w:style>
  <w:style w:type="paragraph" w:customStyle="1" w:styleId="117">
    <w:name w:val="table_1stline"/>
    <w:basedOn w:val="1"/>
    <w:autoRedefine/>
    <w:qFormat/>
    <w:uiPriority w:val="0"/>
    <w:pPr>
      <w:widowControl/>
      <w:spacing w:before="120"/>
      <w:jc w:val="left"/>
    </w:pPr>
    <w:rPr>
      <w:bCs/>
      <w:kern w:val="0"/>
      <w:sz w:val="20"/>
      <w:szCs w:val="20"/>
      <w:lang w:val="de-DE" w:eastAsia="de-DE"/>
    </w:rPr>
  </w:style>
  <w:style w:type="paragraph" w:customStyle="1" w:styleId="118">
    <w:name w:val="table_lines"/>
    <w:basedOn w:val="1"/>
    <w:autoRedefine/>
    <w:qFormat/>
    <w:uiPriority w:val="0"/>
    <w:pPr>
      <w:widowControl/>
      <w:jc w:val="left"/>
    </w:pPr>
    <w:rPr>
      <w:kern w:val="0"/>
      <w:sz w:val="20"/>
      <w:szCs w:val="20"/>
      <w:lang w:val="de-DE" w:eastAsia="de-DE"/>
    </w:rPr>
  </w:style>
  <w:style w:type="paragraph" w:customStyle="1" w:styleId="119">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0">
    <w:name w:val="Char Char Char Char1"/>
    <w:basedOn w:val="13"/>
    <w:autoRedefine/>
    <w:qFormat/>
    <w:uiPriority w:val="0"/>
    <w:pPr>
      <w:adjustRightInd w:val="0"/>
      <w:snapToGrid w:val="0"/>
      <w:spacing w:line="360" w:lineRule="auto"/>
    </w:pPr>
    <w:rPr>
      <w:rFonts w:ascii="Tahoma" w:hAnsi="Tahoma"/>
      <w:kern w:val="0"/>
      <w:sz w:val="24"/>
      <w:szCs w:val="24"/>
    </w:rPr>
  </w:style>
  <w:style w:type="paragraph" w:customStyle="1" w:styleId="121">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22">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23">
    <w:name w:val="Char Char Char Char"/>
    <w:basedOn w:val="13"/>
    <w:autoRedefine/>
    <w:qFormat/>
    <w:uiPriority w:val="0"/>
    <w:pPr>
      <w:adjustRightInd w:val="0"/>
      <w:snapToGrid w:val="0"/>
      <w:spacing w:line="360" w:lineRule="auto"/>
    </w:pPr>
    <w:rPr>
      <w:rFonts w:ascii="Tahoma" w:hAnsi="Tahoma"/>
      <w:sz w:val="24"/>
      <w:szCs w:val="24"/>
    </w:rPr>
  </w:style>
  <w:style w:type="paragraph" w:customStyle="1" w:styleId="124">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5">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7">
    <w:name w:val="Body Text(ch)"/>
    <w:basedOn w:val="1"/>
    <w:next w:val="17"/>
    <w:autoRedefine/>
    <w:qFormat/>
    <w:uiPriority w:val="0"/>
    <w:pPr>
      <w:spacing w:after="120"/>
    </w:pPr>
    <w:rPr>
      <w:rFonts w:ascii="宋体" w:hAnsi="Arial"/>
      <w:bCs/>
      <w:iCs/>
      <w:szCs w:val="24"/>
    </w:rPr>
  </w:style>
  <w:style w:type="paragraph" w:styleId="128">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9">
    <w:name w:val="Char11"/>
    <w:basedOn w:val="13"/>
    <w:autoRedefine/>
    <w:qFormat/>
    <w:uiPriority w:val="0"/>
    <w:rPr>
      <w:rFonts w:ascii="Tahoma" w:hAnsi="Tahoma"/>
      <w:sz w:val="24"/>
      <w:szCs w:val="24"/>
    </w:rPr>
  </w:style>
  <w:style w:type="paragraph" w:customStyle="1" w:styleId="130">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31">
    <w:name w:val="_Style 4"/>
    <w:basedOn w:val="13"/>
    <w:autoRedefine/>
    <w:qFormat/>
    <w:uiPriority w:val="0"/>
    <w:pPr>
      <w:shd w:val="clear" w:color="auto" w:fill="auto"/>
      <w:spacing w:line="360" w:lineRule="auto"/>
      <w:jc w:val="left"/>
    </w:pPr>
    <w:rPr>
      <w:kern w:val="0"/>
      <w:sz w:val="20"/>
      <w:szCs w:val="20"/>
    </w:rPr>
  </w:style>
  <w:style w:type="paragraph" w:customStyle="1" w:styleId="132">
    <w:name w:val="4"/>
    <w:basedOn w:val="1"/>
    <w:next w:val="31"/>
    <w:autoRedefine/>
    <w:qFormat/>
    <w:uiPriority w:val="0"/>
    <w:pPr>
      <w:spacing w:line="360" w:lineRule="auto"/>
      <w:ind w:firstLine="420"/>
    </w:pPr>
    <w:rPr>
      <w:color w:val="FF0000"/>
      <w:sz w:val="24"/>
      <w:szCs w:val="24"/>
    </w:rPr>
  </w:style>
  <w:style w:type="paragraph" w:customStyle="1" w:styleId="133">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4">
    <w:name w:val="TOC 标题1"/>
    <w:basedOn w:val="2"/>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5">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6">
    <w:name w:val="Char1"/>
    <w:basedOn w:val="1"/>
    <w:autoRedefine/>
    <w:qFormat/>
    <w:uiPriority w:val="0"/>
    <w:pPr>
      <w:tabs>
        <w:tab w:val="left" w:pos="360"/>
      </w:tabs>
      <w:ind w:firstLine="200" w:firstLineChars="200"/>
    </w:pPr>
    <w:rPr>
      <w:sz w:val="28"/>
      <w:szCs w:val="30"/>
    </w:rPr>
  </w:style>
  <w:style w:type="paragraph" w:customStyle="1" w:styleId="137">
    <w:name w:val="Char2 Char1 Char"/>
    <w:basedOn w:val="1"/>
    <w:autoRedefine/>
    <w:qFormat/>
    <w:uiPriority w:val="0"/>
    <w:pPr>
      <w:tabs>
        <w:tab w:val="left" w:pos="360"/>
      </w:tabs>
    </w:pPr>
    <w:rPr>
      <w:rFonts w:eastAsia="方正仿宋简体"/>
      <w:sz w:val="24"/>
      <w:szCs w:val="32"/>
    </w:rPr>
  </w:style>
  <w:style w:type="paragraph" w:customStyle="1" w:styleId="138">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9">
    <w:name w:val="Char Char Char Char2"/>
    <w:basedOn w:val="13"/>
    <w:autoRedefine/>
    <w:qFormat/>
    <w:uiPriority w:val="0"/>
    <w:pPr>
      <w:adjustRightInd w:val="0"/>
      <w:snapToGrid w:val="0"/>
      <w:spacing w:line="360" w:lineRule="auto"/>
    </w:pPr>
    <w:rPr>
      <w:rFonts w:ascii="Tahoma" w:hAnsi="Tahoma"/>
      <w:sz w:val="24"/>
      <w:szCs w:val="24"/>
    </w:rPr>
  </w:style>
  <w:style w:type="paragraph" w:customStyle="1" w:styleId="140">
    <w:name w:val="_Style 119"/>
    <w:basedOn w:val="1"/>
    <w:next w:val="128"/>
    <w:autoRedefine/>
    <w:qFormat/>
    <w:uiPriority w:val="34"/>
    <w:pPr>
      <w:widowControl/>
      <w:ind w:left="720"/>
      <w:contextualSpacing/>
      <w:jc w:val="left"/>
    </w:pPr>
    <w:rPr>
      <w:rFonts w:ascii="Calibri" w:hAnsi="Calibri"/>
      <w:kern w:val="0"/>
      <w:sz w:val="24"/>
      <w:szCs w:val="24"/>
      <w:lang w:eastAsia="en-US" w:bidi="en-US"/>
    </w:rPr>
  </w:style>
  <w:style w:type="paragraph" w:customStyle="1" w:styleId="14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2">
    <w:name w:val="Table Paragraph"/>
    <w:basedOn w:val="1"/>
    <w:autoRedefine/>
    <w:qFormat/>
    <w:uiPriority w:val="1"/>
  </w:style>
  <w:style w:type="character" w:customStyle="1" w:styleId="143">
    <w:name w:val="纯文本 字符"/>
    <w:autoRedefine/>
    <w:qFormat/>
    <w:uiPriority w:val="0"/>
    <w:rPr>
      <w:rFonts w:ascii="宋体" w:hAnsi="Courier New" w:cs="Courier New"/>
      <w:kern w:val="2"/>
      <w:sz w:val="21"/>
      <w:szCs w:val="21"/>
    </w:rPr>
  </w:style>
  <w:style w:type="character" w:customStyle="1" w:styleId="144">
    <w:name w:val="正文缩进 字符"/>
    <w:autoRedefine/>
    <w:qFormat/>
    <w:uiPriority w:val="0"/>
    <w:rPr>
      <w:kern w:val="2"/>
      <w:sz w:val="21"/>
      <w:szCs w:val="21"/>
    </w:rPr>
  </w:style>
  <w:style w:type="paragraph" w:customStyle="1" w:styleId="145">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6">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7">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8">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9">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50">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3">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4">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6">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7">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8">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0">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62">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5">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6">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7">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8">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9">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0">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1">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2">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3">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4">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5">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6">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8">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9">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80">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81">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82">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83">
    <w:name w:val="超链接_0"/>
    <w:autoRedefine/>
    <w:qFormat/>
    <w:uiPriority w:val="99"/>
    <w:rPr>
      <w:rFonts w:hint="default" w:ascii="Calibri" w:hAnsi="Calibri" w:cs="Calibri"/>
      <w:color w:val="0000FF"/>
      <w:u w:val="single"/>
    </w:rPr>
  </w:style>
  <w:style w:type="paragraph" w:customStyle="1" w:styleId="184">
    <w:name w:val="正文_0"/>
    <w:basedOn w:val="1"/>
    <w:next w:val="1"/>
    <w:autoRedefine/>
    <w:qFormat/>
    <w:uiPriority w:val="0"/>
    <w:pPr>
      <w:spacing w:after="200" w:line="276" w:lineRule="auto"/>
    </w:pPr>
    <w:rPr>
      <w:rFonts w:ascii="Calibri" w:hAnsi="Calibri"/>
      <w:szCs w:val="24"/>
    </w:rPr>
  </w:style>
  <w:style w:type="paragraph" w:customStyle="1" w:styleId="185">
    <w:name w:val="普通(网站)1"/>
    <w:basedOn w:val="1"/>
    <w:autoRedefine/>
    <w:qFormat/>
    <w:uiPriority w:val="0"/>
    <w:pPr>
      <w:spacing w:beforeAutospacing="1" w:afterAutospacing="1"/>
      <w:jc w:val="left"/>
    </w:pPr>
    <w:rPr>
      <w:rFonts w:ascii="Calibri" w:hAnsi="Calibri"/>
      <w:kern w:val="0"/>
      <w:sz w:val="24"/>
    </w:rPr>
  </w:style>
  <w:style w:type="character" w:customStyle="1" w:styleId="186">
    <w:name w:val="bookmark-item"/>
    <w:basedOn w:val="41"/>
    <w:autoRedefine/>
    <w:qFormat/>
    <w:uiPriority w:val="0"/>
  </w:style>
  <w:style w:type="paragraph" w:customStyle="1" w:styleId="187">
    <w:name w:val="表格"/>
    <w:basedOn w:val="29"/>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8">
    <w:name w:val="btn-auto-1"/>
    <w:basedOn w:val="41"/>
    <w:autoRedefine/>
    <w:qFormat/>
    <w:uiPriority w:val="0"/>
  </w:style>
  <w:style w:type="character" w:customStyle="1" w:styleId="189">
    <w:name w:val="s1"/>
    <w:basedOn w:val="41"/>
    <w:autoRedefine/>
    <w:qFormat/>
    <w:uiPriority w:val="0"/>
    <w:rPr>
      <w:color w:val="DDDDDD"/>
      <w:sz w:val="14"/>
      <w:szCs w:val="14"/>
    </w:rPr>
  </w:style>
  <w:style w:type="character" w:customStyle="1" w:styleId="190">
    <w:name w:val="btn-task-gray2"/>
    <w:basedOn w:val="41"/>
    <w:autoRedefine/>
    <w:qFormat/>
    <w:uiPriority w:val="0"/>
    <w:rPr>
      <w:color w:val="FFFFFF"/>
      <w:u w:val="none"/>
      <w:shd w:val="clear" w:color="auto" w:fill="CCCCCC"/>
    </w:rPr>
  </w:style>
  <w:style w:type="character" w:customStyle="1" w:styleId="191">
    <w:name w:val="btn-task-gray3"/>
    <w:basedOn w:val="41"/>
    <w:autoRedefine/>
    <w:qFormat/>
    <w:uiPriority w:val="0"/>
  </w:style>
  <w:style w:type="character" w:customStyle="1" w:styleId="192">
    <w:name w:val="fontstyle01"/>
    <w:basedOn w:val="41"/>
    <w:autoRedefine/>
    <w:qFormat/>
    <w:uiPriority w:val="0"/>
    <w:rPr>
      <w:rFonts w:ascii="仿宋" w:hAnsi="仿宋" w:eastAsia="仿宋" w:cs="仿宋"/>
      <w:color w:val="000000"/>
      <w:sz w:val="32"/>
      <w:szCs w:val="32"/>
    </w:rPr>
  </w:style>
  <w:style w:type="paragraph" w:customStyle="1" w:styleId="193">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4">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5">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9">
    <w:name w:val="正文2"/>
    <w:basedOn w:val="1"/>
    <w:autoRedefine/>
    <w:qFormat/>
    <w:uiPriority w:val="0"/>
    <w:pPr>
      <w:spacing w:before="156" w:line="360" w:lineRule="auto"/>
      <w:ind w:firstLine="510" w:firstLineChars="200"/>
    </w:pPr>
    <w:rPr>
      <w:sz w:val="24"/>
    </w:rPr>
  </w:style>
  <w:style w:type="paragraph" w:customStyle="1" w:styleId="200">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1">
    <w:name w:val="正文文本缩进_2"/>
    <w:basedOn w:val="202"/>
    <w:autoRedefine/>
    <w:qFormat/>
    <w:uiPriority w:val="0"/>
    <w:pPr>
      <w:spacing w:line="500" w:lineRule="exact"/>
      <w:ind w:left="1588" w:leftChars="832" w:firstLine="433" w:firstLineChars="196"/>
    </w:pPr>
    <w:rPr>
      <w:kern w:val="0"/>
      <w:sz w:val="24"/>
    </w:rPr>
  </w:style>
  <w:style w:type="paragraph" w:customStyle="1" w:styleId="202">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3">
    <w:name w:val="layui-layer-tabnow"/>
    <w:basedOn w:val="41"/>
    <w:autoRedefine/>
    <w:qFormat/>
    <w:uiPriority w:val="0"/>
    <w:rPr>
      <w:bdr w:val="single" w:color="CCCCCC" w:sz="4" w:space="0"/>
      <w:shd w:val="clear" w:color="auto" w:fill="FFFFFF"/>
    </w:rPr>
  </w:style>
  <w:style w:type="character" w:customStyle="1" w:styleId="204">
    <w:name w:val="first-child"/>
    <w:basedOn w:val="41"/>
    <w:autoRedefine/>
    <w:qFormat/>
    <w:uiPriority w:val="0"/>
  </w:style>
  <w:style w:type="paragraph" w:customStyle="1" w:styleId="205">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6">
    <w:name w:val="正文2.25"/>
    <w:basedOn w:val="1"/>
    <w:autoRedefine/>
    <w:qFormat/>
    <w:uiPriority w:val="0"/>
    <w:pPr>
      <w:spacing w:line="360" w:lineRule="auto"/>
      <w:ind w:firstLine="540"/>
    </w:pPr>
    <w:rPr>
      <w:sz w:val="24"/>
      <w:szCs w:val="24"/>
    </w:rPr>
  </w:style>
  <w:style w:type="paragraph" w:customStyle="1" w:styleId="207">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8">
    <w:name w:val="批注文字 字符"/>
    <w:basedOn w:val="41"/>
    <w:link w:val="15"/>
    <w:autoRedefine/>
    <w:semiHidden/>
    <w:qFormat/>
    <w:uiPriority w:val="0"/>
    <w:rPr>
      <w:kern w:val="2"/>
      <w:sz w:val="21"/>
      <w:szCs w:val="21"/>
    </w:rPr>
  </w:style>
  <w:style w:type="character" w:customStyle="1" w:styleId="209">
    <w:name w:val="脚注文本 字符"/>
    <w:basedOn w:val="41"/>
    <w:link w:val="30"/>
    <w:autoRedefine/>
    <w:qFormat/>
    <w:uiPriority w:val="0"/>
    <w:rPr>
      <w:kern w:val="2"/>
      <w:sz w:val="18"/>
      <w:szCs w:val="21"/>
    </w:rPr>
  </w:style>
  <w:style w:type="character" w:customStyle="1" w:styleId="210">
    <w:name w:val="font01"/>
    <w:basedOn w:val="41"/>
    <w:autoRedefine/>
    <w:qFormat/>
    <w:uiPriority w:val="0"/>
    <w:rPr>
      <w:rFonts w:hint="default" w:ascii="Times New Roman" w:hAnsi="Times New Roman" w:cs="Times New Roman"/>
      <w:color w:val="000000"/>
      <w:sz w:val="24"/>
      <w:szCs w:val="24"/>
      <w:u w:val="none"/>
    </w:rPr>
  </w:style>
  <w:style w:type="character" w:customStyle="1" w:styleId="211">
    <w:name w:val="font21"/>
    <w:basedOn w:val="41"/>
    <w:autoRedefine/>
    <w:qFormat/>
    <w:uiPriority w:val="0"/>
    <w:rPr>
      <w:rFonts w:hint="eastAsia" w:ascii="宋体" w:hAnsi="宋体" w:eastAsia="宋体" w:cs="宋体"/>
      <w:color w:val="000000"/>
      <w:sz w:val="24"/>
      <w:szCs w:val="24"/>
      <w:u w:val="none"/>
    </w:rPr>
  </w:style>
  <w:style w:type="character" w:customStyle="1" w:styleId="212">
    <w:name w:val="font11"/>
    <w:basedOn w:val="41"/>
    <w:autoRedefine/>
    <w:qFormat/>
    <w:uiPriority w:val="0"/>
    <w:rPr>
      <w:rFonts w:hint="eastAsia" w:ascii="宋体" w:hAnsi="宋体" w:eastAsia="宋体" w:cs="宋体"/>
      <w:color w:val="000000"/>
      <w:sz w:val="24"/>
      <w:szCs w:val="24"/>
      <w:u w:val="none"/>
    </w:rPr>
  </w:style>
  <w:style w:type="table" w:customStyle="1" w:styleId="213">
    <w:name w:val="Table Normal"/>
    <w:autoRedefine/>
    <w:semiHidden/>
    <w:unhideWhenUsed/>
    <w:qFormat/>
    <w:uiPriority w:val="0"/>
    <w:tblPr>
      <w:tblCellMar>
        <w:top w:w="0" w:type="dxa"/>
        <w:left w:w="0" w:type="dxa"/>
        <w:bottom w:w="0" w:type="dxa"/>
        <w:right w:w="0" w:type="dxa"/>
      </w:tblCellMar>
    </w:tblPr>
  </w:style>
  <w:style w:type="character" w:customStyle="1" w:styleId="214">
    <w:name w:val="font31"/>
    <w:basedOn w:val="41"/>
    <w:autoRedefine/>
    <w:qFormat/>
    <w:uiPriority w:val="0"/>
    <w:rPr>
      <w:rFonts w:hint="eastAsia" w:ascii="宋体" w:hAnsi="宋体" w:eastAsia="宋体" w:cs="宋体"/>
      <w:color w:val="000000"/>
      <w:sz w:val="24"/>
      <w:szCs w:val="24"/>
      <w:u w:val="none"/>
    </w:rPr>
  </w:style>
  <w:style w:type="character" w:customStyle="1" w:styleId="215">
    <w:name w:val="font61"/>
    <w:basedOn w:val="41"/>
    <w:autoRedefine/>
    <w:qFormat/>
    <w:uiPriority w:val="0"/>
    <w:rPr>
      <w:rFonts w:hint="eastAsia" w:ascii="宋体" w:hAnsi="宋体" w:eastAsia="宋体" w:cs="宋体"/>
      <w:color w:val="FF0000"/>
      <w:sz w:val="20"/>
      <w:szCs w:val="20"/>
      <w:u w:val="none"/>
    </w:rPr>
  </w:style>
  <w:style w:type="character" w:customStyle="1" w:styleId="216">
    <w:name w:val="font51"/>
    <w:basedOn w:val="41"/>
    <w:autoRedefine/>
    <w:qFormat/>
    <w:uiPriority w:val="0"/>
    <w:rPr>
      <w:rFonts w:hint="default" w:ascii="方正黑体_GBK" w:hAnsi="方正黑体_GBK" w:eastAsia="方正黑体_GBK" w:cs="方正黑体_GBK"/>
      <w:color w:val="FF0000"/>
      <w:sz w:val="20"/>
      <w:szCs w:val="20"/>
      <w:u w:val="none"/>
    </w:rPr>
  </w:style>
  <w:style w:type="character" w:customStyle="1" w:styleId="217">
    <w:name w:val="font4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81"/>
    <w:basedOn w:val="41"/>
    <w:autoRedefine/>
    <w:qFormat/>
    <w:uiPriority w:val="0"/>
    <w:rPr>
      <w:rFonts w:hint="eastAsia" w:ascii="黑体" w:hAnsi="宋体" w:eastAsia="黑体" w:cs="黑体"/>
      <w:color w:val="FF0000"/>
      <w:sz w:val="20"/>
      <w:szCs w:val="20"/>
      <w:u w:val="none"/>
    </w:rPr>
  </w:style>
  <w:style w:type="character" w:customStyle="1" w:styleId="219">
    <w:name w:val="font7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20">
    <w:name w:val="font9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21">
    <w:name w:val="font101"/>
    <w:basedOn w:val="41"/>
    <w:autoRedefine/>
    <w:qFormat/>
    <w:uiPriority w:val="0"/>
    <w:rPr>
      <w:rFonts w:hint="default" w:ascii="Times New Roman" w:hAnsi="Times New Roman" w:cs="Times New Roman"/>
      <w:color w:val="000000"/>
      <w:sz w:val="22"/>
      <w:szCs w:val="22"/>
      <w:u w:val="none"/>
    </w:rPr>
  </w:style>
  <w:style w:type="character" w:customStyle="1" w:styleId="222">
    <w:name w:val="font112"/>
    <w:basedOn w:val="41"/>
    <w:autoRedefine/>
    <w:qFormat/>
    <w:uiPriority w:val="0"/>
    <w:rPr>
      <w:rFonts w:hint="eastAsia" w:ascii="黑体" w:hAnsi="宋体" w:eastAsia="黑体" w:cs="黑体"/>
      <w:color w:val="000000"/>
      <w:sz w:val="22"/>
      <w:szCs w:val="22"/>
      <w:u w:val="none"/>
    </w:rPr>
  </w:style>
  <w:style w:type="paragraph" w:customStyle="1" w:styleId="22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89</Pages>
  <Words>7074</Words>
  <Characters>7711</Characters>
  <Lines>301</Lines>
  <Paragraphs>84</Paragraphs>
  <TotalTime>3</TotalTime>
  <ScaleCrop>false</ScaleCrop>
  <LinksUpToDate>false</LinksUpToDate>
  <CharactersWithSpaces>7813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徐璐琪</cp:lastModifiedBy>
  <cp:lastPrinted>2024-04-01T10:28:00Z</cp:lastPrinted>
  <dcterms:modified xsi:type="dcterms:W3CDTF">2026-09-29T03:23:15Z</dcterms:modified>
  <dc:title>招　标　文　件</dc:title>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E981A61B02C24A5C838EB96D300151CD</vt:lpwstr>
  </property>
  <property fmtid="{D5CDD505-2E9C-101B-9397-08002B2CF9AE}" pid="4" name="KSOTemplateDocerSaveRecord">
    <vt:lpwstr>eyJoZGlkIjoiNzhiNWQ2Zjg4MWRiZWUzNDE2Y2Y0MzhlM2NjZDU3OTQiLCJ1c2VySWQiOiI3MzIxODk2NDgifQ==</vt:lpwstr>
  </property>
</Properties>
</file>